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D0" w:rsidRPr="0069260C" w:rsidRDefault="00F418D0" w:rsidP="00F418D0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6760C600" wp14:editId="0698D39B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D0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F418D0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>
        <w:rPr>
          <w:rFonts w:asciiTheme="majorHAnsi" w:hAnsiTheme="majorHAnsi"/>
          <w:color w:val="000000"/>
          <w:u w:val="single"/>
          <w:lang w:val="it-IT"/>
        </w:rPr>
        <w:t>10651/3 (15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>
        <w:rPr>
          <w:rFonts w:asciiTheme="majorHAnsi" w:hAnsiTheme="majorHAnsi"/>
          <w:color w:val="000000"/>
          <w:u w:val="single"/>
          <w:lang w:val="it-IT"/>
        </w:rPr>
        <w:t>82</w:t>
      </w: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>
        <w:rPr>
          <w:rFonts w:asciiTheme="majorHAnsi" w:hAnsiTheme="majorHAnsi"/>
          <w:color w:val="000000"/>
          <w:u w:val="single"/>
          <w:lang w:val="it-IT"/>
        </w:rPr>
        <w:t>07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>
        <w:rPr>
          <w:rFonts w:asciiTheme="majorHAnsi" w:hAnsiTheme="majorHAnsi"/>
          <w:color w:val="000000"/>
          <w:u w:val="single"/>
          <w:lang w:val="it-IT"/>
        </w:rPr>
        <w:t>8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F418D0" w:rsidRDefault="00F418D0" w:rsidP="00F418D0">
      <w:pPr>
        <w:jc w:val="center"/>
        <w:rPr>
          <w:rFonts w:asciiTheme="majorHAnsi" w:hAnsiTheme="majorHAnsi"/>
          <w:b/>
          <w:bCs/>
          <w:color w:val="C00000"/>
          <w:sz w:val="36"/>
          <w:szCs w:val="36"/>
        </w:rPr>
      </w:pPr>
      <w:r w:rsidRPr="00BA0BB1">
        <w:rPr>
          <w:rFonts w:asciiTheme="majorHAnsi" w:hAnsiTheme="majorHAnsi"/>
          <w:b/>
          <w:bCs/>
          <w:color w:val="C00000"/>
          <w:sz w:val="36"/>
          <w:szCs w:val="36"/>
        </w:rPr>
        <w:t xml:space="preserve">Regulisani monofazni ispravljač sa KM </w:t>
      </w:r>
    </w:p>
    <w:p w:rsidR="00F418D0" w:rsidRPr="00BA0BB1" w:rsidRDefault="00F418D0" w:rsidP="00F418D0">
      <w:pPr>
        <w:jc w:val="center"/>
        <w:rPr>
          <w:rFonts w:asciiTheme="majorHAnsi" w:hAnsiTheme="majorHAnsi"/>
          <w:b/>
          <w:color w:val="C00000"/>
          <w:sz w:val="36"/>
          <w:szCs w:val="36"/>
          <w:u w:val="single"/>
          <w:lang w:val="it-IT"/>
        </w:rPr>
      </w:pPr>
      <w:r w:rsidRPr="00BA0BB1">
        <w:rPr>
          <w:rFonts w:asciiTheme="majorHAnsi" w:hAnsiTheme="majorHAnsi"/>
          <w:b/>
          <w:bCs/>
          <w:color w:val="C00000"/>
          <w:sz w:val="36"/>
          <w:szCs w:val="36"/>
        </w:rPr>
        <w:t xml:space="preserve">sa isporukom, montažom i </w:t>
      </w:r>
      <w:r>
        <w:rPr>
          <w:rFonts w:asciiTheme="majorHAnsi" w:hAnsiTheme="majorHAnsi"/>
          <w:b/>
          <w:bCs/>
          <w:color w:val="C00000"/>
          <w:sz w:val="36"/>
          <w:szCs w:val="36"/>
        </w:rPr>
        <w:t>ugradnjom</w:t>
      </w:r>
      <w:r w:rsidRPr="00BA0BB1">
        <w:rPr>
          <w:rFonts w:ascii="inherit" w:hAnsi="inherit"/>
          <w:color w:val="C00000"/>
          <w:sz w:val="36"/>
          <w:szCs w:val="36"/>
          <w:u w:val="single"/>
        </w:rPr>
        <w:t> 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broj </w:t>
      </w:r>
      <w:r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10651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</w:t>
      </w:r>
      <w:r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3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 xml:space="preserve"> (</w:t>
      </w:r>
      <w:r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15</w:t>
      </w:r>
      <w:r w:rsidRPr="00BA0BB1">
        <w:rPr>
          <w:rFonts w:asciiTheme="majorHAnsi" w:hAnsiTheme="majorHAnsi"/>
          <w:b/>
          <w:color w:val="C00000"/>
          <w:sz w:val="32"/>
          <w:szCs w:val="32"/>
          <w:u w:val="single"/>
          <w:lang w:val="it-IT"/>
        </w:rPr>
        <w:t>/20)</w:t>
      </w: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 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  <w:r w:rsidRPr="00601FCE">
        <w:rPr>
          <w:rFonts w:ascii="Arial" w:hAnsi="Arial" w:cs="Arial"/>
          <w:b/>
          <w:bCs/>
          <w:color w:val="000000"/>
        </w:rPr>
        <w:br w:type="page"/>
      </w:r>
      <w:r w:rsidRPr="00DC0639">
        <w:rPr>
          <w:rFonts w:ascii="Arial" w:hAnsi="Arial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BB303D" w:rsidRPr="00DC0639" w:rsidRDefault="00BB303D" w:rsidP="00BB303D">
      <w:pPr>
        <w:jc w:val="center"/>
        <w:rPr>
          <w:rFonts w:ascii="Arial" w:hAnsi="Arial" w:cs="Arial"/>
          <w:bCs/>
          <w:color w:val="000000"/>
        </w:rPr>
      </w:pPr>
    </w:p>
    <w:p w:rsidR="00BB303D" w:rsidRPr="00F418D0" w:rsidRDefault="00BB303D" w:rsidP="00BB303D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r w:rsidRPr="00F418D0">
        <w:rPr>
          <w:rFonts w:asciiTheme="majorHAnsi" w:hAnsiTheme="majorHAnsi" w:cs="Arial"/>
          <w:color w:val="000000"/>
          <w:lang w:val="sr-Latn-ME"/>
        </w:rPr>
        <w:fldChar w:fldCharType="begin"/>
      </w:r>
      <w:r w:rsidRPr="00F418D0">
        <w:rPr>
          <w:rFonts w:asciiTheme="majorHAnsi" w:hAnsiTheme="majorHAnsi" w:cs="Arial"/>
          <w:color w:val="000000"/>
          <w:lang w:val="sr-Latn-ME"/>
        </w:rPr>
        <w:instrText xml:space="preserve"> TOC \o "1-3" \h \z \u </w:instrText>
      </w:r>
      <w:r w:rsidRPr="00F418D0">
        <w:rPr>
          <w:rFonts w:asciiTheme="majorHAnsi" w:hAnsiTheme="majorHAnsi" w:cs="Arial"/>
          <w:color w:val="000000"/>
          <w:lang w:val="sr-Latn-ME"/>
        </w:rPr>
        <w:fldChar w:fldCharType="separate"/>
      </w:r>
      <w:hyperlink w:anchor="_Toc44578270" w:history="1">
        <w:r w:rsidRPr="00F418D0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1.</w:t>
        </w:r>
        <w:r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POZIV ZA NADMETANJE</w:t>
        </w:r>
        <w:r w:rsidRPr="00F418D0">
          <w:rPr>
            <w:rFonts w:asciiTheme="majorHAnsi" w:hAnsiTheme="majorHAnsi" w:cs="Arial"/>
            <w:noProof/>
            <w:webHidden/>
          </w:rPr>
          <w:tab/>
        </w:r>
        <w:r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Pr="00F418D0">
          <w:rPr>
            <w:rFonts w:asciiTheme="majorHAnsi" w:hAnsiTheme="majorHAnsi" w:cs="Arial"/>
            <w:noProof/>
            <w:webHidden/>
          </w:rPr>
          <w:instrText xml:space="preserve"> PAGEREF _Toc44578270 \h </w:instrText>
        </w:r>
        <w:r w:rsidRPr="00F418D0">
          <w:rPr>
            <w:rFonts w:asciiTheme="majorHAnsi" w:hAnsiTheme="majorHAnsi" w:cs="Arial"/>
            <w:noProof/>
            <w:webHidden/>
          </w:rPr>
        </w:r>
        <w:r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3</w:t>
        </w:r>
        <w:r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F418D0" w:rsidRDefault="00951269" w:rsidP="00BB303D">
      <w:pPr>
        <w:pStyle w:val="TOC1"/>
        <w:tabs>
          <w:tab w:val="left" w:pos="440"/>
          <w:tab w:val="right" w:leader="dot" w:pos="9062"/>
        </w:tabs>
        <w:rPr>
          <w:rFonts w:asciiTheme="majorHAnsi" w:hAnsiTheme="majorHAnsi" w:cs="Arial"/>
          <w:noProof/>
        </w:rPr>
      </w:pPr>
      <w:hyperlink w:anchor="_Toc44578271" w:history="1"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2.</w:t>
        </w:r>
        <w:r w:rsidR="00BB303D"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TEHNIČKA SPECIFIKACIJA PREDMETA JAVNE NABAVKE</w:t>
        </w:r>
        <w:r w:rsidR="00BB303D" w:rsidRPr="00F418D0">
          <w:rPr>
            <w:rFonts w:asciiTheme="majorHAnsi" w:hAnsiTheme="majorHAnsi" w:cs="Arial"/>
            <w:noProof/>
            <w:webHidden/>
          </w:rPr>
          <w:tab/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="00BB303D" w:rsidRPr="00F418D0">
          <w:rPr>
            <w:rFonts w:asciiTheme="majorHAnsi" w:hAnsiTheme="majorHAnsi" w:cs="Arial"/>
            <w:noProof/>
            <w:webHidden/>
          </w:rPr>
          <w:instrText xml:space="preserve"> PAGEREF _Toc44578271 \h </w:instrText>
        </w:r>
        <w:r w:rsidR="00BB303D" w:rsidRPr="00F418D0">
          <w:rPr>
            <w:rFonts w:asciiTheme="majorHAnsi" w:hAnsiTheme="majorHAnsi" w:cs="Arial"/>
            <w:noProof/>
            <w:webHidden/>
          </w:rPr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8</w:t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F418D0" w:rsidRDefault="00F418D0" w:rsidP="00BB303D">
      <w:pPr>
        <w:rPr>
          <w:rFonts w:asciiTheme="majorHAnsi" w:hAnsiTheme="majorHAnsi" w:cs="Arial"/>
          <w:lang w:eastAsia="zh-TW"/>
        </w:rPr>
      </w:pPr>
      <w:r w:rsidRPr="00F418D0">
        <w:rPr>
          <w:rFonts w:asciiTheme="majorHAnsi" w:hAnsiTheme="majorHAnsi" w:cs="Arial"/>
          <w:lang w:eastAsia="zh-TW"/>
        </w:rPr>
        <w:t xml:space="preserve">3. </w:t>
      </w:r>
      <w:r w:rsidR="00BB303D" w:rsidRPr="00F418D0">
        <w:rPr>
          <w:rFonts w:asciiTheme="majorHAnsi" w:hAnsiTheme="majorHAnsi" w:cs="Arial"/>
          <w:lang w:eastAsia="zh-TW"/>
        </w:rPr>
        <w:t>SREDSTVA FINANSIJSKOG OBEZBJEĐENJA UGOVORA O JAVNOJ NABAVCI..…</w:t>
      </w:r>
      <w:r w:rsidRPr="00F418D0">
        <w:rPr>
          <w:rFonts w:asciiTheme="majorHAnsi" w:hAnsiTheme="majorHAnsi" w:cs="Arial"/>
          <w:lang w:eastAsia="zh-TW"/>
        </w:rPr>
        <w:t>..…..…..…..…..…..…..…..…..…..…..…..…..…..…..…..…..…..…..…...</w:t>
      </w:r>
      <w:r>
        <w:rPr>
          <w:rFonts w:asciiTheme="majorHAnsi" w:hAnsiTheme="majorHAnsi" w:cs="Arial"/>
          <w:lang w:eastAsia="zh-TW"/>
        </w:rPr>
        <w:t>.........................................</w:t>
      </w:r>
      <w:r w:rsidRPr="00F418D0">
        <w:rPr>
          <w:rFonts w:asciiTheme="majorHAnsi" w:hAnsiTheme="majorHAnsi" w:cs="Arial"/>
          <w:lang w:eastAsia="zh-TW"/>
        </w:rPr>
        <w:t>.</w:t>
      </w:r>
      <w:r w:rsidR="009E20D7">
        <w:rPr>
          <w:rFonts w:asciiTheme="majorHAnsi" w:hAnsiTheme="majorHAnsi" w:cs="Arial"/>
          <w:lang w:eastAsia="zh-TW"/>
        </w:rPr>
        <w:t>11</w:t>
      </w:r>
    </w:p>
    <w:p w:rsidR="00BB303D" w:rsidRPr="00F418D0" w:rsidRDefault="00951269" w:rsidP="00BB303D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2" w:history="1"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4.</w:t>
        </w:r>
        <w:r w:rsidR="00BB303D"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METODOLOGIJA VREDNOVANJA PONUDA</w:t>
        </w:r>
        <w:r w:rsidR="00BB303D" w:rsidRPr="00F418D0">
          <w:rPr>
            <w:rFonts w:asciiTheme="majorHAnsi" w:hAnsiTheme="majorHAnsi" w:cs="Arial"/>
            <w:noProof/>
            <w:webHidden/>
          </w:rPr>
          <w:tab/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="00BB303D" w:rsidRPr="00F418D0">
          <w:rPr>
            <w:rFonts w:asciiTheme="majorHAnsi" w:hAnsiTheme="majorHAnsi" w:cs="Arial"/>
            <w:noProof/>
            <w:webHidden/>
          </w:rPr>
          <w:instrText xml:space="preserve"> PAGEREF _Toc44578272 \h </w:instrText>
        </w:r>
        <w:r w:rsidR="00BB303D" w:rsidRPr="00F418D0">
          <w:rPr>
            <w:rFonts w:asciiTheme="majorHAnsi" w:hAnsiTheme="majorHAnsi" w:cs="Arial"/>
            <w:noProof/>
            <w:webHidden/>
          </w:rPr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11</w:t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F418D0" w:rsidRDefault="00951269" w:rsidP="00BB303D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3" w:history="1"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5.</w:t>
        </w:r>
        <w:r w:rsidR="00BB303D"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UPUTSTVO ZA SAČINJAVANJE PONUDE</w:t>
        </w:r>
        <w:r w:rsidR="00BB303D" w:rsidRPr="00F418D0">
          <w:rPr>
            <w:rFonts w:asciiTheme="majorHAnsi" w:hAnsiTheme="majorHAnsi" w:cs="Arial"/>
            <w:noProof/>
            <w:webHidden/>
          </w:rPr>
          <w:tab/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="00BB303D" w:rsidRPr="00F418D0">
          <w:rPr>
            <w:rFonts w:asciiTheme="majorHAnsi" w:hAnsiTheme="majorHAnsi" w:cs="Arial"/>
            <w:noProof/>
            <w:webHidden/>
          </w:rPr>
          <w:instrText xml:space="preserve"> PAGEREF _Toc44578273 \h </w:instrText>
        </w:r>
        <w:r w:rsidR="00BB303D" w:rsidRPr="00F418D0">
          <w:rPr>
            <w:rFonts w:asciiTheme="majorHAnsi" w:hAnsiTheme="majorHAnsi" w:cs="Arial"/>
            <w:noProof/>
            <w:webHidden/>
          </w:rPr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12</w:t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F418D0" w:rsidRDefault="00951269" w:rsidP="00BB303D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4" w:history="1"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6.</w:t>
        </w:r>
        <w:r w:rsidR="00BB303D"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NAČIN ZAKLJUČIVANJA I IZMJENE UGOVORA O JAVNOJ NABACI</w:t>
        </w:r>
        <w:r w:rsidR="00BB303D" w:rsidRPr="00F418D0">
          <w:rPr>
            <w:rFonts w:asciiTheme="majorHAnsi" w:hAnsiTheme="majorHAnsi" w:cs="Arial"/>
            <w:noProof/>
            <w:webHidden/>
          </w:rPr>
          <w:tab/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="00BB303D" w:rsidRPr="00F418D0">
          <w:rPr>
            <w:rFonts w:asciiTheme="majorHAnsi" w:hAnsiTheme="majorHAnsi" w:cs="Arial"/>
            <w:noProof/>
            <w:webHidden/>
          </w:rPr>
          <w:instrText xml:space="preserve"> PAGEREF _Toc44578274 \h </w:instrText>
        </w:r>
        <w:r w:rsidR="00BB303D" w:rsidRPr="00F418D0">
          <w:rPr>
            <w:rFonts w:asciiTheme="majorHAnsi" w:hAnsiTheme="majorHAnsi" w:cs="Arial"/>
            <w:noProof/>
            <w:webHidden/>
          </w:rPr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12</w:t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F418D0" w:rsidRDefault="00951269" w:rsidP="00BB303D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5" w:history="1"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7.</w:t>
        </w:r>
        <w:r w:rsidR="00BB303D"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ZAHTJEV ZA POJAŠNJENJE ILI IZMJENU I DOPUNU TENDERSKE DOKUMENTACIJE</w:t>
        </w:r>
        <w:r w:rsidR="00BB303D" w:rsidRPr="00F418D0">
          <w:rPr>
            <w:rFonts w:asciiTheme="majorHAnsi" w:hAnsiTheme="majorHAnsi" w:cs="Arial"/>
            <w:noProof/>
            <w:webHidden/>
          </w:rPr>
          <w:tab/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="00BB303D" w:rsidRPr="00F418D0">
          <w:rPr>
            <w:rFonts w:asciiTheme="majorHAnsi" w:hAnsiTheme="majorHAnsi" w:cs="Arial"/>
            <w:noProof/>
            <w:webHidden/>
          </w:rPr>
          <w:instrText xml:space="preserve"> PAGEREF _Toc44578275 \h </w:instrText>
        </w:r>
        <w:r w:rsidR="00BB303D" w:rsidRPr="00F418D0">
          <w:rPr>
            <w:rFonts w:asciiTheme="majorHAnsi" w:hAnsiTheme="majorHAnsi" w:cs="Arial"/>
            <w:noProof/>
            <w:webHidden/>
          </w:rPr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14</w:t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F418D0" w:rsidRDefault="00951269" w:rsidP="00BB303D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6" w:history="1"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8.</w:t>
        </w:r>
        <w:r w:rsidR="00BB303D"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IZJAVA NARUČIOCA O NEPOSTOJANJU SUKOBA INTERESA</w:t>
        </w:r>
        <w:r w:rsidR="00BB303D" w:rsidRPr="00F418D0">
          <w:rPr>
            <w:rFonts w:asciiTheme="majorHAnsi" w:hAnsiTheme="majorHAnsi" w:cs="Arial"/>
            <w:noProof/>
            <w:webHidden/>
          </w:rPr>
          <w:tab/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="00BB303D" w:rsidRPr="00F418D0">
          <w:rPr>
            <w:rFonts w:asciiTheme="majorHAnsi" w:hAnsiTheme="majorHAnsi" w:cs="Arial"/>
            <w:noProof/>
            <w:webHidden/>
          </w:rPr>
          <w:instrText xml:space="preserve"> PAGEREF _Toc44578276 \h </w:instrText>
        </w:r>
        <w:r w:rsidR="00BB303D" w:rsidRPr="00F418D0">
          <w:rPr>
            <w:rFonts w:asciiTheme="majorHAnsi" w:hAnsiTheme="majorHAnsi" w:cs="Arial"/>
            <w:noProof/>
            <w:webHidden/>
          </w:rPr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15</w:t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F418D0" w:rsidRDefault="00951269" w:rsidP="00BB303D">
      <w:pPr>
        <w:pStyle w:val="TOC1"/>
        <w:tabs>
          <w:tab w:val="left" w:pos="440"/>
          <w:tab w:val="right" w:leader="dot" w:pos="9062"/>
        </w:tabs>
        <w:rPr>
          <w:rFonts w:asciiTheme="majorHAnsi" w:eastAsia="Times New Roman" w:hAnsiTheme="majorHAnsi" w:cs="Arial"/>
          <w:noProof/>
          <w:lang w:eastAsia="en-US"/>
        </w:rPr>
      </w:pPr>
      <w:hyperlink w:anchor="_Toc44578277" w:history="1">
        <w:r w:rsidR="00BB303D" w:rsidRPr="00F418D0">
          <w:rPr>
            <w:rStyle w:val="Hyperlink"/>
            <w:rFonts w:asciiTheme="majorHAnsi" w:eastAsia="Times New Roman" w:hAnsiTheme="majorHAnsi" w:cs="Arial"/>
            <w:bCs/>
            <w:iCs/>
            <w:noProof/>
          </w:rPr>
          <w:t>9.</w:t>
        </w:r>
        <w:r w:rsidR="00BB303D" w:rsidRPr="00F418D0">
          <w:rPr>
            <w:rFonts w:asciiTheme="majorHAnsi" w:eastAsia="Times New Roman" w:hAnsiTheme="majorHAnsi" w:cs="Arial"/>
            <w:noProof/>
            <w:lang w:eastAsia="en-US"/>
          </w:rPr>
          <w:tab/>
        </w:r>
        <w:r w:rsidR="00BB303D" w:rsidRPr="00F418D0">
          <w:rPr>
            <w:rStyle w:val="Hyperlink"/>
            <w:rFonts w:asciiTheme="majorHAnsi" w:eastAsia="Times New Roman" w:hAnsiTheme="majorHAnsi" w:cs="Arial"/>
            <w:bCs/>
            <w:noProof/>
          </w:rPr>
          <w:t>UPUTSTVO O PRAVNOM SREDSTVU</w:t>
        </w:r>
        <w:r w:rsidR="00BB303D" w:rsidRPr="00F418D0">
          <w:rPr>
            <w:rFonts w:asciiTheme="majorHAnsi" w:hAnsiTheme="majorHAnsi" w:cs="Arial"/>
            <w:noProof/>
            <w:webHidden/>
          </w:rPr>
          <w:tab/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begin"/>
        </w:r>
        <w:r w:rsidR="00BB303D" w:rsidRPr="00F418D0">
          <w:rPr>
            <w:rFonts w:asciiTheme="majorHAnsi" w:hAnsiTheme="majorHAnsi" w:cs="Arial"/>
            <w:noProof/>
            <w:webHidden/>
          </w:rPr>
          <w:instrText xml:space="preserve"> PAGEREF _Toc44578277 \h </w:instrText>
        </w:r>
        <w:r w:rsidR="00BB303D" w:rsidRPr="00F418D0">
          <w:rPr>
            <w:rFonts w:asciiTheme="majorHAnsi" w:hAnsiTheme="majorHAnsi" w:cs="Arial"/>
            <w:noProof/>
            <w:webHidden/>
          </w:rPr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separate"/>
        </w:r>
        <w:r w:rsidR="00F27803">
          <w:rPr>
            <w:rFonts w:asciiTheme="majorHAnsi" w:hAnsiTheme="majorHAnsi" w:cs="Arial"/>
            <w:noProof/>
            <w:webHidden/>
          </w:rPr>
          <w:t>16</w:t>
        </w:r>
        <w:r w:rsidR="00BB303D" w:rsidRPr="00F418D0">
          <w:rPr>
            <w:rFonts w:asciiTheme="majorHAnsi" w:hAnsiTheme="majorHAnsi" w:cs="Arial"/>
            <w:noProof/>
            <w:webHidden/>
          </w:rPr>
          <w:fldChar w:fldCharType="end"/>
        </w:r>
      </w:hyperlink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F418D0">
        <w:rPr>
          <w:rFonts w:asciiTheme="majorHAnsi" w:hAnsiTheme="majorHAnsi" w:cs="Arial"/>
          <w:color w:val="000000"/>
        </w:rPr>
        <w:fldChar w:fldCharType="end"/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 w:rsidRPr="00601FCE">
        <w:rPr>
          <w:rFonts w:ascii="Arial" w:hAnsi="Arial" w:cs="Arial"/>
          <w:color w:val="000000"/>
        </w:rPr>
        <w:t xml:space="preserve">  </w:t>
      </w: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Default="00BB303D" w:rsidP="00BB303D">
      <w:pPr>
        <w:rPr>
          <w:rFonts w:ascii="Arial" w:hAnsi="Arial" w:cs="Arial"/>
          <w:color w:val="000000"/>
        </w:rPr>
      </w:pPr>
    </w:p>
    <w:p w:rsidR="00BB303D" w:rsidRPr="00601FCE" w:rsidRDefault="00BB303D" w:rsidP="00BB30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4578270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F418D0" w:rsidRPr="0069260C" w:rsidRDefault="00F418D0" w:rsidP="00F418D0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F418D0" w:rsidRPr="0069260C" w:rsidTr="00F418D0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>
              <w:rPr>
                <w:rFonts w:asciiTheme="majorHAnsi" w:hAnsiTheme="majorHAnsi"/>
                <w:b/>
              </w:rPr>
              <w:t xml:space="preserve"> Đon Đeljaj, dipl.el.ing.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F418D0" w:rsidRPr="0069260C" w:rsidRDefault="00F418D0" w:rsidP="00F418D0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</w:t>
            </w:r>
            <w:r>
              <w:rPr>
                <w:rFonts w:asciiTheme="majorHAnsi" w:hAnsiTheme="majorHAnsi"/>
                <w:b/>
                <w:color w:val="000000"/>
              </w:rPr>
              <w:t>4</w:t>
            </w:r>
            <w:r w:rsidRPr="0069260C">
              <w:rPr>
                <w:rFonts w:asciiTheme="majorHAnsi" w:hAnsiTheme="majorHAnsi"/>
                <w:b/>
                <w:color w:val="000000"/>
              </w:rPr>
              <w:t>0</w:t>
            </w:r>
          </w:p>
        </w:tc>
        <w:tc>
          <w:tcPr>
            <w:tcW w:w="5208" w:type="dxa"/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F418D0" w:rsidRPr="0069260C" w:rsidTr="00F418D0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F418D0" w:rsidRPr="0069260C" w:rsidRDefault="00951269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F418D0" w:rsidRPr="0069260C" w:rsidRDefault="00951269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F418D0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Robe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F418D0" w:rsidRPr="0069260C" w:rsidRDefault="00F418D0" w:rsidP="00F418D0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69260C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69260C" w:rsidRDefault="00F418D0" w:rsidP="00F418D0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BA0BB1">
              <w:rPr>
                <w:rFonts w:asciiTheme="majorHAnsi" w:hAnsiTheme="majorHAnsi"/>
                <w:b/>
                <w:i/>
                <w:lang w:val="sr-Latn-CS"/>
              </w:rPr>
              <w:t xml:space="preserve">Nabavka </w:t>
            </w:r>
            <w:r w:rsidRPr="00BA0BB1">
              <w:rPr>
                <w:rFonts w:asciiTheme="majorHAnsi" w:hAnsiTheme="majorHAnsi"/>
                <w:b/>
                <w:bCs/>
                <w:i/>
              </w:rPr>
              <w:t>regulisanog monofaznog ispravljača sa KM sa isporukom, montažom</w:t>
            </w:r>
            <w:r>
              <w:rPr>
                <w:rFonts w:asciiTheme="majorHAnsi" w:hAnsiTheme="majorHAnsi"/>
                <w:b/>
                <w:bCs/>
                <w:i/>
              </w:rPr>
              <w:t>, ugradnjom</w:t>
            </w:r>
            <w:r w:rsidRPr="00BA0BB1">
              <w:rPr>
                <w:rFonts w:asciiTheme="majorHAnsi" w:hAnsiTheme="majorHAnsi"/>
                <w:b/>
                <w:bCs/>
                <w:i/>
              </w:rPr>
              <w:t xml:space="preserve"> i </w:t>
            </w:r>
            <w:r>
              <w:rPr>
                <w:rFonts w:asciiTheme="majorHAnsi" w:hAnsiTheme="majorHAnsi"/>
                <w:b/>
                <w:bCs/>
                <w:i/>
              </w:rPr>
              <w:t>puštanjem u rad</w:t>
            </w:r>
            <w:r w:rsidRPr="00BA0BB1">
              <w:rPr>
                <w:rFonts w:asciiTheme="majorHAnsi" w:hAnsiTheme="majorHAnsi" w:cs="Arial"/>
                <w:i/>
                <w:lang w:val="sr-Latn-CS"/>
              </w:rPr>
              <w:t>, u svemu prema specifikaciji koja je sastavni dio Tenderske dokumentacije.</w:t>
            </w:r>
          </w:p>
        </w:tc>
      </w:tr>
    </w:tbl>
    <w:p w:rsidR="00F418D0" w:rsidRPr="0069260C" w:rsidRDefault="00F418D0" w:rsidP="00F418D0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F418D0" w:rsidRPr="0069260C" w:rsidRDefault="00F418D0" w:rsidP="00F418D0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F418D0" w:rsidRPr="0069260C" w:rsidTr="00F418D0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F418D0" w:rsidRPr="0069260C" w:rsidRDefault="00F418D0" w:rsidP="00F418D0">
            <w:pPr>
              <w:rPr>
                <w:rFonts w:asciiTheme="majorHAnsi" w:hAnsiTheme="majorHAnsi" w:cs="Arial"/>
                <w:color w:val="000000"/>
              </w:rPr>
            </w:pPr>
            <w:r w:rsidRPr="00BA0BB1">
              <w:rPr>
                <w:rFonts w:asciiTheme="majorHAnsi" w:hAnsiTheme="majorHAnsi"/>
                <w:lang w:eastAsia="sr-Latn-ME"/>
              </w:rPr>
              <w:t>31681400-7 Elektricne komponente</w:t>
            </w:r>
          </w:p>
        </w:tc>
      </w:tr>
    </w:tbl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F418D0">
        <w:rPr>
          <w:rFonts w:asciiTheme="majorHAnsi" w:hAnsiTheme="majorHAnsi" w:cs="Arial"/>
          <w:color w:val="000000"/>
        </w:rPr>
        <w:sym w:font="Wingdings" w:char="F0FD"/>
      </w:r>
      <w:r w:rsidRPr="00F418D0">
        <w:rPr>
          <w:rFonts w:asciiTheme="majorHAnsi" w:hAnsiTheme="majorHAnsi" w:cs="Arial"/>
          <w:color w:val="000000"/>
        </w:rPr>
        <w:t xml:space="preserve"> </w:t>
      </w:r>
      <w:r w:rsidRPr="00F418D0">
        <w:rPr>
          <w:rFonts w:asciiTheme="majorHAnsi" w:hAnsiTheme="majorHAnsi" w:cs="Arial"/>
        </w:rPr>
        <w:t>Obrazloženje razloga zašto predmet nabavke nije podijeljen na partije:  predmetna javna nabavka je jedinstvena cijelina i ne može se podijeliti na partije.</w:t>
      </w:r>
      <w:r w:rsidRPr="0069260C">
        <w:rPr>
          <w:rFonts w:asciiTheme="majorHAnsi" w:hAnsiTheme="majorHAnsi" w:cs="Arial"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Pr="0069260C">
        <w:rPr>
          <w:rFonts w:asciiTheme="majorHAnsi" w:hAnsiTheme="majorHAnsi" w:cs="Arial"/>
          <w:color w:val="000000"/>
        </w:rPr>
        <w:t>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kao cjeline je </w:t>
      </w:r>
      <w:r>
        <w:rPr>
          <w:rFonts w:asciiTheme="majorHAnsi" w:hAnsiTheme="majorHAnsi" w:cs="Calibri"/>
          <w:color w:val="000000"/>
        </w:rPr>
        <w:t>33</w:t>
      </w:r>
      <w:r w:rsidRPr="0069260C">
        <w:rPr>
          <w:rFonts w:asciiTheme="majorHAnsi" w:hAnsiTheme="majorHAnsi" w:cs="Calibri"/>
          <w:color w:val="000000"/>
        </w:rPr>
        <w:t>.</w:t>
      </w:r>
      <w:r>
        <w:rPr>
          <w:rFonts w:asciiTheme="majorHAnsi" w:hAnsiTheme="majorHAnsi" w:cs="Calibri"/>
          <w:color w:val="000000"/>
        </w:rPr>
        <w:t>057</w:t>
      </w:r>
      <w:r w:rsidRPr="0069260C">
        <w:rPr>
          <w:rFonts w:asciiTheme="majorHAnsi" w:hAnsiTheme="majorHAnsi" w:cs="Calibri"/>
          <w:color w:val="000000"/>
        </w:rPr>
        <w:t>,</w:t>
      </w:r>
      <w:r>
        <w:rPr>
          <w:rFonts w:asciiTheme="majorHAnsi" w:hAnsiTheme="majorHAnsi" w:cs="Calibri"/>
          <w:color w:val="000000"/>
        </w:rPr>
        <w:t>85</w:t>
      </w:r>
      <w:r w:rsidRPr="0069260C">
        <w:rPr>
          <w:rFonts w:asciiTheme="majorHAnsi" w:hAnsiTheme="majorHAnsi" w:cs="Arial"/>
          <w:color w:val="000000"/>
        </w:rPr>
        <w:t xml:space="preserve"> €;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30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2B37A9" w:rsidRPr="0051618F" w:rsidRDefault="002B37A9" w:rsidP="002B37A9">
      <w:pPr>
        <w:jc w:val="both"/>
        <w:rPr>
          <w:rFonts w:ascii="Arial" w:hAnsi="Arial" w:cs="Arial"/>
          <w:sz w:val="16"/>
          <w:szCs w:val="16"/>
        </w:rPr>
      </w:pPr>
    </w:p>
    <w:p w:rsidR="002B37A9" w:rsidRPr="00214A4D" w:rsidRDefault="002B37A9" w:rsidP="002B3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214A4D">
        <w:rPr>
          <w:rFonts w:asciiTheme="majorHAnsi" w:hAnsiTheme="majorHAnsi" w:cs="Arial"/>
          <w:b/>
        </w:rPr>
        <w:t>XI Posebni oblik nabavke</w:t>
      </w:r>
    </w:p>
    <w:p w:rsidR="002B37A9" w:rsidRPr="0069260C" w:rsidRDefault="002B37A9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Varijante ponude nijesu dozvoljene i neće biti razmatrane.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F418D0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 xml:space="preserve"> za obavljanje djelatnosti,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 stručne i tehničke osposobljenosti.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je </w:t>
      </w:r>
      <w:r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F418D0" w:rsidRPr="00F418D0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F418D0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 </w:t>
      </w:r>
      <w:r w:rsidRPr="0069260C">
        <w:rPr>
          <w:rFonts w:asciiTheme="majorHAnsi" w:hAnsiTheme="majorHAnsi" w:cs="Arial"/>
        </w:rPr>
        <w:t xml:space="preserve">je u postupku stečaja ili likvidacije;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p w:rsidR="00F418D0" w:rsidRPr="00C00ACA" w:rsidRDefault="00F418D0" w:rsidP="00F418D0">
      <w:pPr>
        <w:rPr>
          <w:rFonts w:asciiTheme="majorHAnsi" w:hAnsiTheme="majorHAnsi" w:cs="Arial"/>
        </w:rPr>
      </w:pPr>
      <w:r w:rsidRPr="00C00ACA">
        <w:rPr>
          <w:rFonts w:asciiTheme="majorHAnsi" w:hAnsiTheme="majorHAnsi" w:cs="Arial"/>
          <w:color w:val="000000"/>
        </w:rPr>
        <w:sym w:font="Wingdings" w:char="F0FD"/>
      </w:r>
      <w:r w:rsidRPr="00C00ACA">
        <w:rPr>
          <w:rFonts w:asciiTheme="majorHAnsi" w:hAnsiTheme="majorHAnsi" w:cs="Arial"/>
          <w:color w:val="000000"/>
        </w:rPr>
        <w:t xml:space="preserve"> </w:t>
      </w:r>
      <w:r w:rsidRPr="00C00ACA">
        <w:rPr>
          <w:rFonts w:asciiTheme="majorHAnsi" w:hAnsiTheme="majorHAnsi" w:cs="Arial"/>
        </w:rPr>
        <w:t>odnos cijene i kvaliteta</w:t>
      </w:r>
    </w:p>
    <w:p w:rsidR="00F418D0" w:rsidRPr="00D25C61" w:rsidRDefault="00F418D0" w:rsidP="00F418D0">
      <w:pPr>
        <w:rPr>
          <w:rFonts w:asciiTheme="majorHAnsi" w:hAnsiTheme="majorHAnsi" w:cs="Arial"/>
          <w:sz w:val="16"/>
          <w:szCs w:val="16"/>
        </w:rPr>
      </w:pPr>
    </w:p>
    <w:p w:rsidR="00F418D0" w:rsidRPr="00D25C61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XIV Način, mjesto i vrijeme podnošenja ponuda i otvaranja ponuda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F418D0" w:rsidRPr="0069260C" w:rsidRDefault="00F418D0" w:rsidP="00F418D0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lastRenderedPageBreak/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F418D0" w:rsidRPr="0069260C" w:rsidRDefault="00F418D0" w:rsidP="00F418D0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07 sati do 15 sati, zaključno sa danom </w:t>
      </w:r>
      <w:r w:rsidR="00241E0D" w:rsidRPr="00241E0D">
        <w:rPr>
          <w:rFonts w:asciiTheme="majorHAnsi" w:hAnsiTheme="majorHAnsi" w:cs="Arial"/>
          <w:b/>
          <w:color w:val="000000"/>
        </w:rPr>
        <w:t>2</w:t>
      </w:r>
      <w:r w:rsidR="00241E0D">
        <w:rPr>
          <w:rFonts w:asciiTheme="majorHAnsi" w:hAnsiTheme="majorHAnsi" w:cs="Arial"/>
          <w:b/>
          <w:color w:val="000000"/>
        </w:rPr>
        <w:t>8</w:t>
      </w:r>
      <w:r w:rsidRPr="00241E0D">
        <w:rPr>
          <w:rFonts w:asciiTheme="majorHAnsi" w:hAnsiTheme="majorHAnsi" w:cs="Arial"/>
          <w:b/>
          <w:color w:val="000000"/>
        </w:rPr>
        <w:t>.08.2020. godine</w:t>
      </w:r>
      <w:r w:rsidRPr="0069260C">
        <w:rPr>
          <w:rFonts w:asciiTheme="majorHAnsi" w:hAnsiTheme="majorHAnsi" w:cs="Arial"/>
          <w:color w:val="000000"/>
        </w:rPr>
        <w:t xml:space="preserve"> do 12 sati.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241E0D" w:rsidRPr="00241E0D">
        <w:rPr>
          <w:rFonts w:asciiTheme="majorHAnsi" w:hAnsiTheme="majorHAnsi" w:cs="Arial"/>
          <w:b/>
          <w:color w:val="000000"/>
        </w:rPr>
        <w:t>2</w:t>
      </w:r>
      <w:r w:rsidR="00241E0D">
        <w:rPr>
          <w:rFonts w:asciiTheme="majorHAnsi" w:hAnsiTheme="majorHAnsi" w:cs="Arial"/>
          <w:b/>
          <w:color w:val="000000"/>
        </w:rPr>
        <w:t>8</w:t>
      </w:r>
      <w:r w:rsidRPr="00241E0D">
        <w:rPr>
          <w:rFonts w:asciiTheme="majorHAnsi" w:hAnsiTheme="majorHAnsi" w:cs="Arial"/>
          <w:b/>
          <w:color w:val="000000"/>
        </w:rPr>
        <w:t>.08.2020. godine</w:t>
      </w:r>
      <w:r w:rsidRPr="0069260C">
        <w:rPr>
          <w:rFonts w:asciiTheme="majorHAnsi" w:hAnsiTheme="majorHAnsi" w:cs="Arial"/>
          <w:color w:val="000000"/>
        </w:rPr>
        <w:t xml:space="preserve"> u 12,30 sati, u prostorijama </w:t>
      </w:r>
      <w:r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Razlozi hitnosti za skraćenje roka za podnošenje ponuda: </w:t>
      </w:r>
      <w:r w:rsidRPr="007B6022">
        <w:rPr>
          <w:rFonts w:asciiTheme="majorHAnsi" w:hAnsiTheme="majorHAnsi"/>
          <w:i/>
          <w:color w:val="000000"/>
          <w:lang w:val="pl-PL"/>
        </w:rPr>
        <w:t>Zbog mjera Vlade Crne Gore</w:t>
      </w:r>
      <w:r>
        <w:rPr>
          <w:rFonts w:asciiTheme="majorHAnsi" w:hAnsiTheme="majorHAnsi"/>
          <w:i/>
          <w:color w:val="000000"/>
          <w:lang w:val="pl-PL"/>
        </w:rPr>
        <w:t>,</w:t>
      </w:r>
      <w:r w:rsidRPr="007B6022">
        <w:rPr>
          <w:rFonts w:asciiTheme="majorHAnsi" w:hAnsiTheme="majorHAnsi"/>
          <w:i/>
          <w:color w:val="000000"/>
          <w:lang w:val="pl-PL"/>
        </w:rPr>
        <w:t xml:space="preserve"> od 19.03.2020.godine</w:t>
      </w:r>
      <w:r>
        <w:rPr>
          <w:rFonts w:asciiTheme="majorHAnsi" w:hAnsiTheme="majorHAnsi"/>
          <w:i/>
          <w:color w:val="000000"/>
          <w:lang w:val="pl-PL"/>
        </w:rPr>
        <w:t>, koji</w:t>
      </w:r>
      <w:r w:rsidRPr="007B6022">
        <w:rPr>
          <w:rFonts w:asciiTheme="majorHAnsi" w:hAnsiTheme="majorHAnsi"/>
          <w:i/>
          <w:color w:val="000000"/>
          <w:lang w:val="pl-PL"/>
        </w:rPr>
        <w:t xml:space="preserve">m su </w:t>
      </w:r>
      <w:r>
        <w:rPr>
          <w:rFonts w:asciiTheme="majorHAnsi" w:hAnsiTheme="majorHAnsi"/>
          <w:i/>
          <w:color w:val="000000"/>
          <w:lang w:val="pl-PL"/>
        </w:rPr>
        <w:t xml:space="preserve">bile </w:t>
      </w:r>
      <w:r w:rsidRPr="007B6022">
        <w:rPr>
          <w:rFonts w:asciiTheme="majorHAnsi" w:hAnsiTheme="majorHAnsi"/>
          <w:i/>
          <w:color w:val="000000"/>
          <w:lang w:val="pl-PL"/>
        </w:rPr>
        <w:t xml:space="preserve">zabranjene javne nabavke osim hitnih nabavki nismo bili u mogućnosti da pokrenemo i sprovedemo ovaj postupak javne nabavke </w:t>
      </w:r>
      <w:r>
        <w:rPr>
          <w:rFonts w:asciiTheme="majorHAnsi" w:hAnsiTheme="majorHAnsi"/>
          <w:i/>
          <w:color w:val="000000"/>
          <w:lang w:val="pl-PL"/>
        </w:rPr>
        <w:t xml:space="preserve">u prethodnom periodu </w:t>
      </w:r>
      <w:r w:rsidRPr="007B6022">
        <w:rPr>
          <w:rFonts w:asciiTheme="majorHAnsi" w:hAnsiTheme="majorHAnsi"/>
          <w:i/>
          <w:color w:val="000000"/>
          <w:lang w:val="pl-PL"/>
        </w:rPr>
        <w:t>i iz t</w:t>
      </w:r>
      <w:r>
        <w:rPr>
          <w:rFonts w:asciiTheme="majorHAnsi" w:hAnsiTheme="majorHAnsi"/>
          <w:i/>
          <w:color w:val="000000"/>
          <w:lang w:val="pl-PL"/>
        </w:rPr>
        <w:t>o</w:t>
      </w:r>
      <w:r w:rsidRPr="007B6022">
        <w:rPr>
          <w:rFonts w:asciiTheme="majorHAnsi" w:hAnsiTheme="majorHAnsi"/>
          <w:i/>
          <w:color w:val="000000"/>
          <w:lang w:val="pl-PL"/>
        </w:rPr>
        <w:t xml:space="preserve">g razloga koristimo </w:t>
      </w:r>
      <w:r>
        <w:rPr>
          <w:rFonts w:asciiTheme="majorHAnsi" w:hAnsiTheme="majorHAnsi"/>
          <w:i/>
          <w:color w:val="000000"/>
          <w:lang w:val="pl-PL"/>
        </w:rPr>
        <w:t>kraći</w:t>
      </w:r>
      <w:r w:rsidRPr="007B6022">
        <w:rPr>
          <w:rFonts w:asciiTheme="majorHAnsi" w:hAnsiTheme="majorHAnsi"/>
          <w:i/>
          <w:color w:val="000000"/>
          <w:lang w:val="pl-PL"/>
        </w:rPr>
        <w:t xml:space="preserve"> rok za dostavljanje ponuda.</w:t>
      </w:r>
    </w:p>
    <w:p w:rsidR="00F418D0" w:rsidRPr="00D25C61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F418D0" w:rsidRPr="00D25C61" w:rsidRDefault="00F418D0" w:rsidP="00F418D0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Rok važenja ponude je 60 dana od dana otvaranja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da</w:t>
      </w:r>
    </w:p>
    <w:p w:rsidR="00F418D0" w:rsidRPr="0069260C" w:rsidRDefault="00F418D0" w:rsidP="00F418D0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 7 dana nakon isteka važenja ponude.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 ili okvirni sporazum; ili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ne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4578271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458"/>
        <w:gridCol w:w="2209"/>
        <w:gridCol w:w="1344"/>
        <w:gridCol w:w="1171"/>
        <w:gridCol w:w="1600"/>
        <w:gridCol w:w="1616"/>
      </w:tblGrid>
      <w:tr w:rsidR="00F418D0" w:rsidRPr="0069260C" w:rsidTr="00F418D0">
        <w:trPr>
          <w:trHeight w:val="1862"/>
          <w:tblCellSpacing w:w="20" w:type="dxa"/>
        </w:trPr>
        <w:tc>
          <w:tcPr>
            <w:tcW w:w="1398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2169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2475" w:type="dxa"/>
            <w:gridSpan w:val="2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556" w:type="dxa"/>
            <w:shd w:val="clear" w:color="auto" w:fill="BFBFBF" w:themeFill="background1" w:themeFillShade="BF"/>
            <w:vAlign w:val="center"/>
          </w:tcPr>
          <w:p w:rsidR="00F418D0" w:rsidRPr="0069260C" w:rsidRDefault="00F418D0" w:rsidP="00F418D0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F418D0" w:rsidRPr="0069260C" w:rsidTr="00F418D0">
        <w:trPr>
          <w:tblCellSpacing w:w="20" w:type="dxa"/>
        </w:trPr>
        <w:tc>
          <w:tcPr>
            <w:tcW w:w="1398" w:type="dxa"/>
            <w:shd w:val="clear" w:color="auto" w:fill="D9D9D9" w:themeFill="background1" w:themeFillShade="D9"/>
          </w:tcPr>
          <w:p w:rsidR="00F418D0" w:rsidRPr="00D25C61" w:rsidRDefault="00F418D0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169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C00ACA">
              <w:rPr>
                <w:rFonts w:asciiTheme="majorHAnsi" w:hAnsiTheme="majorHAnsi"/>
                <w:bCs/>
                <w:sz w:val="20"/>
                <w:szCs w:val="20"/>
              </w:rPr>
              <w:t>Regulisani monofazni ispravljač sa KM sa isporukom, montažom, ugradnjom i puštanjem u rad</w:t>
            </w:r>
          </w:p>
        </w:tc>
        <w:tc>
          <w:tcPr>
            <w:tcW w:w="1304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tip IRN1515KM, 220/60DC, 150A</w:t>
            </w:r>
          </w:p>
        </w:tc>
        <w:tc>
          <w:tcPr>
            <w:tcW w:w="1131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mjesto ugradnje: ukrsnica Kruševo</w:t>
            </w:r>
          </w:p>
        </w:tc>
        <w:tc>
          <w:tcPr>
            <w:tcW w:w="1560" w:type="dxa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komad</w:t>
            </w:r>
          </w:p>
        </w:tc>
        <w:tc>
          <w:tcPr>
            <w:tcW w:w="1556" w:type="dxa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1</w:t>
            </w:r>
          </w:p>
        </w:tc>
      </w:tr>
      <w:tr w:rsidR="00F418D0" w:rsidRPr="0069260C" w:rsidTr="00F418D0">
        <w:trPr>
          <w:tblCellSpacing w:w="20" w:type="dxa"/>
        </w:trPr>
        <w:tc>
          <w:tcPr>
            <w:tcW w:w="1398" w:type="dxa"/>
            <w:shd w:val="clear" w:color="auto" w:fill="D9D9D9" w:themeFill="background1" w:themeFillShade="D9"/>
          </w:tcPr>
          <w:p w:rsidR="00F418D0" w:rsidRPr="00D25C61" w:rsidRDefault="00F418D0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169" w:type="dxa"/>
            <w:shd w:val="clear" w:color="auto" w:fill="D9D9D9" w:themeFill="background1" w:themeFillShade="D9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/>
                <w:bCs/>
                <w:sz w:val="20"/>
                <w:szCs w:val="20"/>
              </w:rPr>
              <w:t>Regulisani monofazni ispravljač sa KM sa isporukom, montažom, ugradnjom i puštanjem u rad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tip IRN1515KM, 220/60DC, 150A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mjesto ugradnje: stanica Golubovci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komad</w:t>
            </w: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1</w:t>
            </w:r>
          </w:p>
        </w:tc>
      </w:tr>
      <w:tr w:rsidR="00F418D0" w:rsidRPr="0069260C" w:rsidTr="00F418D0">
        <w:trPr>
          <w:tblCellSpacing w:w="20" w:type="dxa"/>
        </w:trPr>
        <w:tc>
          <w:tcPr>
            <w:tcW w:w="1398" w:type="dxa"/>
            <w:shd w:val="clear" w:color="auto" w:fill="D9D9D9" w:themeFill="background1" w:themeFillShade="D9"/>
          </w:tcPr>
          <w:p w:rsidR="00F418D0" w:rsidRPr="00D25C61" w:rsidRDefault="00F418D0" w:rsidP="00F418D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</w:rPr>
            </w:pPr>
          </w:p>
        </w:tc>
        <w:tc>
          <w:tcPr>
            <w:tcW w:w="2169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/>
                <w:bCs/>
                <w:sz w:val="20"/>
                <w:szCs w:val="20"/>
              </w:rPr>
              <w:t>Regulisani monofazni ispravljač sa KM sa isporukom, montažom, ugradnjom i puštanjem u rad</w:t>
            </w:r>
          </w:p>
        </w:tc>
        <w:tc>
          <w:tcPr>
            <w:tcW w:w="1304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tip IRN1515KM, 220/60DC, 150A</w:t>
            </w:r>
          </w:p>
        </w:tc>
        <w:tc>
          <w:tcPr>
            <w:tcW w:w="1131" w:type="dxa"/>
            <w:vAlign w:val="bottom"/>
          </w:tcPr>
          <w:p w:rsidR="00F418D0" w:rsidRPr="00C00ACA" w:rsidRDefault="00F418D0" w:rsidP="00F418D0">
            <w:pPr>
              <w:jc w:val="both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mjesto ugradnje: stanica Sutomore</w:t>
            </w:r>
          </w:p>
        </w:tc>
        <w:tc>
          <w:tcPr>
            <w:tcW w:w="1560" w:type="dxa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komad</w:t>
            </w:r>
          </w:p>
        </w:tc>
        <w:tc>
          <w:tcPr>
            <w:tcW w:w="1556" w:type="dxa"/>
            <w:vAlign w:val="center"/>
          </w:tcPr>
          <w:p w:rsidR="00F418D0" w:rsidRPr="00C00ACA" w:rsidRDefault="00F418D0" w:rsidP="00F418D0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C00ACA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1</w:t>
            </w:r>
          </w:p>
        </w:tc>
      </w:tr>
    </w:tbl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Default="00F418D0" w:rsidP="00F418D0">
      <w:pPr>
        <w:rPr>
          <w:rFonts w:asciiTheme="majorHAnsi" w:hAnsiTheme="majorHAnsi" w:cs="Arial"/>
        </w:rPr>
      </w:pP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B8B7" w:themeFill="accent2" w:themeFillTint="66"/>
        <w:rPr>
          <w:rFonts w:asciiTheme="majorHAnsi" w:hAnsiTheme="majorHAnsi" w:cs="Arial"/>
          <w:b/>
          <w:sz w:val="26"/>
          <w:szCs w:val="26"/>
          <w:lang w:val="sr-Latn-RS"/>
        </w:rPr>
      </w:pPr>
      <w:r w:rsidRPr="00E92AEA">
        <w:rPr>
          <w:rFonts w:asciiTheme="majorHAnsi" w:hAnsiTheme="majorHAnsi" w:cs="Arial"/>
          <w:b/>
          <w:sz w:val="26"/>
          <w:szCs w:val="26"/>
          <w:lang w:val="sr-Latn-RS"/>
        </w:rPr>
        <w:t xml:space="preserve">Monofazni ispravljač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Ulazni napon sa kontaktne mreže ili distributivne mreže     220V,50Hz +/-25%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Izlazne karakteristike monofaznih ispravljača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a.Na akumulatorsku bateriju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60V, DC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b. Izlazni napon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Konstantan jednosmerni napon u svim režimima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>
        <w:rPr>
          <w:rFonts w:asciiTheme="majorHAnsi" w:hAnsiTheme="majorHAnsi" w:cs="Arial"/>
          <w:sz w:val="25"/>
          <w:szCs w:val="25"/>
          <w:lang w:val="sr-Latn-RS"/>
        </w:rPr>
        <w:t>c. Tolerancija podešenih izla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>znih napona %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+/-1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d. Podesivost izlaznog napona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+ 1</w:t>
      </w:r>
      <w:r>
        <w:rPr>
          <w:rFonts w:asciiTheme="majorHAnsi" w:hAnsiTheme="majorHAnsi" w:cs="Arial"/>
          <w:sz w:val="25"/>
          <w:szCs w:val="25"/>
          <w:lang w:val="sr-Latn-RS"/>
        </w:rPr>
        <w:t>,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 10%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e. Napon potrošača, poseban izvod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od 55.5V DC – 66 V DC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f.  Struja nominalna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250A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g. Opseg podešavanja struje baterije %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0-100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h. Pri svim opterećenjima 0-100% mora održavati napon na ćeliji AKU baterije  +/-1%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i. Mogućnost nadopunjavanja ćelije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+/-1%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j. Mogućnost punjenja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k. Napon održavanja baterije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         podesivo za NiCD tip baterije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l. Napon punjenja baterije podesivo za tip baterije Pb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m. Napon dubokog punjenja baterije podesivo za NicD tip baterije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n. Isključenje potrošača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55,5 V DC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o. Karakteristika punjenja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         Saglasno standardu DIN 41 773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rFonts w:asciiTheme="majorHAnsi" w:hAnsiTheme="majorHAnsi" w:cs="Arial"/>
          <w:b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b/>
          <w:sz w:val="25"/>
          <w:szCs w:val="25"/>
          <w:lang w:val="sr-Latn-RS"/>
        </w:rPr>
        <w:t xml:space="preserve">Režim rada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p. Automatski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IUU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q. Režim dopunjavanja – ručno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IU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r. Režim punjenja – ručno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IU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s. Režim dubokog punjenja – ručno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IU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rPr>
          <w:rFonts w:asciiTheme="majorHAnsi" w:hAnsiTheme="majorHAnsi" w:cs="Arial"/>
          <w:b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b/>
          <w:sz w:val="25"/>
          <w:szCs w:val="25"/>
          <w:lang w:val="sr-Latn-RS"/>
        </w:rPr>
        <w:t xml:space="preserve">Vrsta baterije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t. Nedeljiva baterija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Pb ili NiCd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u. Nadzor nad baterijom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                     Prekid baterijskog kola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          Programirano pražnjenje baterije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v.  Faktor snage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&gt;0,8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</w:rPr>
        <w:t xml:space="preserve">w. Stepen iskorišćenja </w:t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>&gt;0,9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x. Temperatura okoline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-30 +55C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y. Vlažnost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95%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>aa.Buka (dB) na 1m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&gt;55dB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bb. Galvanska izolovanost ulaz-izlaz-masa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2.5kV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cc. Signalizacija i memorijski prikaz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svih stanja prekidača i osigurača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dd. Sinoptički prikaz i displej merenja i alarma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ee. Merenja: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Uul-km, Uul-dm, Ful, Udc, Lizl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ff.  Način hlađenja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 xml:space="preserve">Prirodno </w:t>
      </w:r>
    </w:p>
    <w:p w:rsidR="00F418D0" w:rsidRPr="00E92AEA" w:rsidRDefault="00F418D0" w:rsidP="00F418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ajorHAnsi" w:hAnsiTheme="majorHAnsi" w:cs="Arial"/>
          <w:sz w:val="25"/>
          <w:szCs w:val="25"/>
          <w:lang w:val="sr-Latn-RS"/>
        </w:rPr>
      </w:pPr>
      <w:r w:rsidRPr="00E92AEA">
        <w:rPr>
          <w:rFonts w:asciiTheme="majorHAnsi" w:hAnsiTheme="majorHAnsi" w:cs="Arial"/>
          <w:sz w:val="25"/>
          <w:szCs w:val="25"/>
          <w:lang w:val="sr-Latn-RS"/>
        </w:rPr>
        <w:t xml:space="preserve">gg. Dimenzije </w:t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</w:r>
      <w:r w:rsidRPr="00E92AEA">
        <w:rPr>
          <w:rFonts w:asciiTheme="majorHAnsi" w:hAnsiTheme="majorHAnsi" w:cs="Arial"/>
          <w:sz w:val="25"/>
          <w:szCs w:val="25"/>
          <w:lang w:val="sr-Latn-RS"/>
        </w:rPr>
        <w:tab/>
        <w:t>650 x 700 x 2000</w:t>
      </w:r>
    </w:p>
    <w:p w:rsidR="00F418D0" w:rsidRPr="0069260C" w:rsidRDefault="00F418D0" w:rsidP="00F418D0">
      <w:pPr>
        <w:rPr>
          <w:rFonts w:asciiTheme="majorHAnsi" w:hAnsiTheme="majorHAnsi" w:cs="Arial"/>
        </w:rPr>
      </w:pPr>
    </w:p>
    <w:p w:rsidR="00F418D0" w:rsidRPr="0069260C" w:rsidRDefault="00F418D0" w:rsidP="00F4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>Zahtjevi u pogledu načina izvršavanja predmeta nabavke koji su od značaja za sačinjavanje ponude i izvršenje ugovora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</w:rPr>
        <w:t xml:space="preserve"> </w:t>
      </w:r>
      <w:r w:rsidRPr="0069260C">
        <w:rPr>
          <w:rFonts w:asciiTheme="majorHAnsi" w:hAnsiTheme="majorHAnsi" w:cs="Arial"/>
          <w:color w:val="000000"/>
        </w:rPr>
        <w:t>Rok izvršenja ugovora je 1 godina od dana zaključivanja ugovora.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Mjesto izvršenja ugovora je </w:t>
      </w:r>
      <w:r>
        <w:rPr>
          <w:rFonts w:asciiTheme="majorHAnsi" w:hAnsiTheme="majorHAnsi"/>
          <w:color w:val="000000"/>
          <w:sz w:val="23"/>
          <w:szCs w:val="23"/>
          <w:lang w:val="pl-PL"/>
        </w:rPr>
        <w:t>ukrsnica Kruševo, stanica Golubovci i stanica Sutomore</w:t>
      </w:r>
      <w:r w:rsidRPr="0069260C">
        <w:rPr>
          <w:rFonts w:asciiTheme="majorHAnsi" w:hAnsiTheme="majorHAnsi" w:cs="Arial"/>
          <w:color w:val="000000"/>
        </w:rPr>
        <w:t>.</w:t>
      </w:r>
    </w:p>
    <w:p w:rsidR="00F418D0" w:rsidRPr="0069260C" w:rsidRDefault="00F418D0" w:rsidP="00F418D0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F418D0" w:rsidRPr="0069260C" w:rsidRDefault="00F418D0" w:rsidP="00F418D0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>Uslovi plaćanja su: odloženo.</w:t>
      </w:r>
    </w:p>
    <w:p w:rsidR="00F418D0" w:rsidRPr="0069260C" w:rsidRDefault="00F418D0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Garantni rok: </w:t>
      </w:r>
      <w:r w:rsidRPr="0069260C">
        <w:rPr>
          <w:rFonts w:asciiTheme="majorHAnsi" w:hAnsiTheme="majorHAnsi"/>
          <w:color w:val="000000"/>
        </w:rPr>
        <w:t>minimum 1 godina</w:t>
      </w:r>
      <w:r w:rsidRPr="0069260C">
        <w:rPr>
          <w:rFonts w:asciiTheme="majorHAnsi" w:hAnsiTheme="majorHAnsi" w:cs="Arial"/>
          <w:color w:val="000000"/>
        </w:rPr>
        <w:t>.</w:t>
      </w:r>
    </w:p>
    <w:p w:rsidR="00806B24" w:rsidRDefault="00806B24" w:rsidP="00F418D0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F418D0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806B24" w:rsidRDefault="00806B24" w:rsidP="00F418D0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prijem usluge (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 i puštanje u rad)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saglasno važećim standardima iz predmetne oblasti,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kada ovlašćeno lice Kupca u mjestu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ugradnje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izvrši prijem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usluge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, što se potvrđuje odgovarajućim Zapisnikom koji potpisuju ovlašćena lica Kupca i Dobavljača.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>
              <w:rPr>
                <w:rFonts w:asciiTheme="majorHAnsi" w:hAnsiTheme="majorHAnsi"/>
                <w:sz w:val="23"/>
                <w:szCs w:val="23"/>
                <w:lang w:val="nl-NL"/>
              </w:rPr>
              <w:t>Zapisnik/ci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njima ispostavljena faktura od strane Dobavljača čine osnov za plaćanje.</w:t>
            </w: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montažu, ugradnju i puštanje u rad robe,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koja ima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322B2C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Ako se zapisnički utvrdi da roba koju je Dobavljač isporučio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montirao, ugradio i pustio u rad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30</w:t>
            </w:r>
            <w:r w:rsidRPr="00322B2C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 dana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montiranu i ugrađenu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.</w:t>
            </w:r>
          </w:p>
        </w:tc>
      </w:tr>
    </w:tbl>
    <w:p w:rsidR="00806B24" w:rsidRDefault="00806B24" w:rsidP="00806B24">
      <w:pPr>
        <w:jc w:val="both"/>
        <w:rPr>
          <w:rFonts w:asciiTheme="majorHAnsi" w:hAnsiTheme="majorHAnsi"/>
          <w:sz w:val="23"/>
          <w:szCs w:val="23"/>
          <w:lang w:val="nl-NL"/>
        </w:rPr>
      </w:pPr>
    </w:p>
    <w:p w:rsidR="00F418D0" w:rsidRPr="0069260C" w:rsidRDefault="00F418D0" w:rsidP="00806B24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F418D0" w:rsidRPr="00806B24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806B24" w:rsidRDefault="00F418D0" w:rsidP="00F418D0">
      <w:pPr>
        <w:rPr>
          <w:rFonts w:asciiTheme="majorHAnsi" w:hAnsiTheme="majorHAnsi"/>
          <w:b/>
          <w:color w:val="000000"/>
          <w:sz w:val="16"/>
          <w:szCs w:val="16"/>
        </w:rPr>
      </w:pPr>
    </w:p>
    <w:p w:rsidR="00F418D0" w:rsidRPr="00444C91" w:rsidRDefault="00F418D0" w:rsidP="00F418D0">
      <w:pPr>
        <w:rPr>
          <w:rFonts w:asciiTheme="majorHAnsi" w:hAnsiTheme="majorHAnsi"/>
          <w:color w:val="000000"/>
        </w:rPr>
      </w:pPr>
      <w:r w:rsidRPr="00444C91">
        <w:rPr>
          <w:rFonts w:asciiTheme="majorHAnsi" w:hAnsiTheme="majorHAnsi"/>
          <w:b/>
          <w:color w:val="000000"/>
        </w:rPr>
        <w:sym w:font="Wingdings" w:char="F078"/>
      </w:r>
      <w:r w:rsidRPr="00444C91">
        <w:rPr>
          <w:rFonts w:asciiTheme="majorHAnsi" w:hAnsiTheme="majorHAnsi"/>
          <w:color w:val="000000"/>
        </w:rPr>
        <w:t xml:space="preserve"> Garancije kvaliteta: </w:t>
      </w:r>
    </w:p>
    <w:p w:rsidR="00F418D0" w:rsidRPr="00712546" w:rsidRDefault="00F418D0" w:rsidP="00F418D0">
      <w:pPr>
        <w:ind w:left="284"/>
        <w:jc w:val="both"/>
        <w:rPr>
          <w:rFonts w:asciiTheme="majorHAnsi" w:hAnsiTheme="majorHAnsi"/>
          <w:color w:val="000000"/>
        </w:rPr>
      </w:pPr>
      <w:r w:rsidRPr="00444C91">
        <w:rPr>
          <w:rFonts w:asciiTheme="majorHAnsi" w:hAnsiTheme="majorHAnsi"/>
          <w:color w:val="000000"/>
        </w:rPr>
        <w:t xml:space="preserve">- </w:t>
      </w:r>
      <w:r w:rsidRPr="00712546">
        <w:rPr>
          <w:rFonts w:asciiTheme="majorHAnsi" w:hAnsiTheme="majorHAnsi"/>
          <w:color w:val="000000"/>
        </w:rPr>
        <w:t xml:space="preserve">Ponuđač je dužan da dostavi </w:t>
      </w:r>
      <w:r w:rsidRPr="00712546">
        <w:rPr>
          <w:rFonts w:asciiTheme="majorHAnsi" w:hAnsiTheme="majorHAnsi" w:cs="Arial"/>
          <w:lang w:val="sr-Latn-CS"/>
        </w:rPr>
        <w:t>dokaz da je ponuđač ili ovlašćeni distributer i serviser ponuđene robe;</w:t>
      </w:r>
    </w:p>
    <w:p w:rsidR="00F418D0" w:rsidRPr="00444C91" w:rsidRDefault="00F418D0" w:rsidP="00F418D0">
      <w:pPr>
        <w:ind w:left="284"/>
        <w:jc w:val="both"/>
        <w:rPr>
          <w:rFonts w:asciiTheme="majorHAnsi" w:hAnsiTheme="majorHAnsi"/>
          <w:color w:val="000000"/>
        </w:rPr>
      </w:pPr>
      <w:r w:rsidRPr="00712546">
        <w:rPr>
          <w:rFonts w:asciiTheme="majorHAnsi" w:hAnsiTheme="majorHAnsi" w:cs="Arial"/>
          <w:lang w:val="sr-Latn-CS"/>
        </w:rPr>
        <w:t xml:space="preserve">- </w:t>
      </w:r>
      <w:r w:rsidRPr="00712546">
        <w:rPr>
          <w:rFonts w:asciiTheme="majorHAnsi" w:hAnsiTheme="majorHAnsi"/>
          <w:color w:val="000000"/>
        </w:rPr>
        <w:t>Ponuđač je dužan da dostavi dozvolu za upotrebu na željeznici;</w:t>
      </w:r>
      <w:r w:rsidRPr="00444C91">
        <w:rPr>
          <w:rFonts w:asciiTheme="majorHAnsi" w:hAnsiTheme="majorHAnsi"/>
          <w:color w:val="000000"/>
        </w:rPr>
        <w:t xml:space="preserve"> </w:t>
      </w:r>
    </w:p>
    <w:p w:rsidR="00F418D0" w:rsidRDefault="00F418D0" w:rsidP="00F418D0">
      <w:pPr>
        <w:rPr>
          <w:rFonts w:ascii="Cambria" w:hAnsi="Cambria"/>
          <w:color w:val="000000"/>
          <w:sz w:val="16"/>
          <w:szCs w:val="16"/>
        </w:rPr>
      </w:pPr>
    </w:p>
    <w:p w:rsidR="00F418D0" w:rsidRPr="00111B54" w:rsidRDefault="00F418D0" w:rsidP="00F418D0">
      <w:pPr>
        <w:rPr>
          <w:rFonts w:asciiTheme="majorHAnsi" w:hAnsiTheme="majorHAnsi"/>
          <w:color w:val="000000"/>
          <w:sz w:val="16"/>
          <w:szCs w:val="16"/>
        </w:rPr>
      </w:pPr>
    </w:p>
    <w:p w:rsidR="00F418D0" w:rsidRPr="0064546A" w:rsidRDefault="00F418D0" w:rsidP="00F418D0">
      <w:pPr>
        <w:rPr>
          <w:rFonts w:ascii="Cambria" w:hAnsi="Cambria"/>
          <w:color w:val="000000"/>
          <w:sz w:val="23"/>
          <w:szCs w:val="23"/>
        </w:rPr>
      </w:pPr>
      <w:r w:rsidRPr="0064546A">
        <w:rPr>
          <w:rFonts w:ascii="Cambria" w:hAnsi="Cambria"/>
          <w:color w:val="000000"/>
          <w:sz w:val="23"/>
          <w:szCs w:val="23"/>
        </w:rPr>
        <w:t>Naručilac zadržava pravo da:</w:t>
      </w:r>
    </w:p>
    <w:p w:rsidR="00F418D0" w:rsidRPr="0064546A" w:rsidRDefault="00F418D0" w:rsidP="00F418D0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ascii="Cambria" w:hAnsi="Cambria" w:cs="Arial"/>
          <w:i/>
          <w:sz w:val="23"/>
          <w:szCs w:val="23"/>
        </w:rPr>
      </w:pPr>
      <w:r w:rsidRPr="0064546A">
        <w:rPr>
          <w:rFonts w:ascii="Cambria" w:hAnsi="Cambria" w:cs="Arial"/>
          <w:i/>
          <w:sz w:val="23"/>
          <w:szCs w:val="23"/>
        </w:rPr>
        <w:t xml:space="preserve">zahtjeva </w:t>
      </w:r>
      <w:r>
        <w:rPr>
          <w:rFonts w:ascii="Cambria" w:hAnsi="Cambria" w:cs="Arial"/>
          <w:i/>
          <w:sz w:val="23"/>
          <w:szCs w:val="23"/>
        </w:rPr>
        <w:t>izvršenje isporuke robe,</w:t>
      </w:r>
      <w:r w:rsidRPr="0064546A">
        <w:rPr>
          <w:rFonts w:ascii="Cambria" w:hAnsi="Cambria" w:cs="Arial"/>
          <w:i/>
          <w:sz w:val="23"/>
          <w:szCs w:val="23"/>
        </w:rPr>
        <w:t xml:space="preserve"> sukcesivno</w:t>
      </w:r>
      <w:r>
        <w:rPr>
          <w:rFonts w:ascii="Cambria" w:hAnsi="Cambria" w:cs="Arial"/>
          <w:i/>
          <w:sz w:val="23"/>
          <w:szCs w:val="23"/>
        </w:rPr>
        <w:t>,</w:t>
      </w:r>
      <w:r w:rsidRPr="0064546A">
        <w:rPr>
          <w:rFonts w:ascii="Cambria" w:hAnsi="Cambria" w:cs="Arial"/>
          <w:i/>
          <w:sz w:val="23"/>
          <w:szCs w:val="23"/>
        </w:rPr>
        <w:t xml:space="preserve"> po pojedinačnim zahtjevima u zavisnosti od trenutnih potreba.</w:t>
      </w:r>
    </w:p>
    <w:p w:rsidR="00F418D0" w:rsidRDefault="00F418D0" w:rsidP="00F418D0">
      <w:pPr>
        <w:tabs>
          <w:tab w:val="left" w:pos="900"/>
        </w:tabs>
        <w:jc w:val="both"/>
        <w:rPr>
          <w:rFonts w:asciiTheme="majorHAnsi" w:hAnsiTheme="majorHAnsi" w:cs="Arial"/>
          <w:i/>
          <w:highlight w:val="yellow"/>
          <w:lang w:val="sr-Latn-CS"/>
        </w:rPr>
      </w:pPr>
    </w:p>
    <w:p w:rsidR="00F418D0" w:rsidRDefault="00F418D0" w:rsidP="00F418D0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806B24" w:rsidRDefault="00806B24" w:rsidP="00F418D0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806B24" w:rsidRDefault="00806B24" w:rsidP="00F418D0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806B24" w:rsidRDefault="00806B24" w:rsidP="00F418D0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806B24" w:rsidRPr="001201C3" w:rsidRDefault="00806B24" w:rsidP="00F418D0">
      <w:pPr>
        <w:tabs>
          <w:tab w:val="left" w:pos="900"/>
        </w:tabs>
        <w:jc w:val="both"/>
        <w:rPr>
          <w:rFonts w:asciiTheme="majorHAnsi" w:hAnsiTheme="majorHAnsi" w:cs="Arial"/>
          <w:i/>
        </w:rPr>
      </w:pPr>
    </w:p>
    <w:p w:rsidR="00F27803" w:rsidRPr="0069260C" w:rsidRDefault="00F27803" w:rsidP="00F27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3. SREDSTVA FINANSIJSKOG OBEZBJEĐENJA UGOVORA O JAVNOJ NABAVCI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garanciju za dobro izvršenje ugovora </w:t>
      </w:r>
      <w:r w:rsidRPr="0069260C">
        <w:rPr>
          <w:rFonts w:asciiTheme="majorHAnsi" w:hAnsiTheme="majorHAnsi" w:cs="Arial"/>
          <w:color w:val="000000"/>
        </w:rPr>
        <w:t xml:space="preserve">u iznosu od </w:t>
      </w:r>
      <w:r w:rsidR="00241E0D">
        <w:rPr>
          <w:rFonts w:asciiTheme="majorHAnsi" w:hAnsiTheme="majorHAnsi" w:cs="Arial"/>
          <w:color w:val="000000"/>
        </w:rPr>
        <w:t>5</w:t>
      </w:r>
      <w:r w:rsidRPr="0069260C">
        <w:rPr>
          <w:rFonts w:asciiTheme="majorHAnsi" w:hAnsiTheme="majorHAnsi" w:cs="Arial"/>
          <w:color w:val="000000"/>
        </w:rPr>
        <w:t>% od vrijednosti ugovora</w:t>
      </w:r>
      <w:r w:rsidRPr="0069260C">
        <w:rPr>
          <w:rFonts w:asciiTheme="majorHAnsi" w:hAnsiTheme="majorHAnsi" w:cs="Arial"/>
          <w:vertAlign w:val="superscript"/>
        </w:rPr>
        <w:footnoteReference w:id="7"/>
      </w:r>
      <w:r w:rsidRPr="0069260C">
        <w:rPr>
          <w:rFonts w:asciiTheme="majorHAnsi" w:hAnsiTheme="majorHAnsi" w:cs="Arial"/>
        </w:rPr>
        <w:t xml:space="preserve"> </w:t>
      </w:r>
    </w:p>
    <w:p w:rsidR="00F418D0" w:rsidRDefault="00F418D0" w:rsidP="00F418D0">
      <w:pPr>
        <w:rPr>
          <w:rFonts w:asciiTheme="majorHAnsi" w:hAnsiTheme="majorHAnsi" w:cs="Arial"/>
          <w:color w:val="000000"/>
        </w:rPr>
      </w:pPr>
    </w:p>
    <w:p w:rsidR="00F27803" w:rsidRDefault="00F27803">
      <w:pPr>
        <w:outlineLvl w:val="0"/>
      </w:pPr>
      <w:bookmarkStart w:id="3" w:name="_Toc44578272"/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3"/>
    </w:p>
    <w:p w:rsidR="00F418D0" w:rsidRPr="001201C3" w:rsidRDefault="00F418D0" w:rsidP="00F418D0">
      <w:pPr>
        <w:rPr>
          <w:rFonts w:asciiTheme="majorHAnsi" w:hAnsiTheme="majorHAnsi" w:cs="Arial"/>
          <w:sz w:val="10"/>
          <w:szCs w:val="1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F418D0" w:rsidRPr="001201C3" w:rsidRDefault="00F418D0" w:rsidP="00F418D0">
      <w:pPr>
        <w:jc w:val="both"/>
        <w:rPr>
          <w:rFonts w:asciiTheme="majorHAnsi" w:hAnsiTheme="majorHAnsi" w:cs="Arial"/>
          <w:sz w:val="10"/>
          <w:szCs w:val="10"/>
        </w:rPr>
      </w:pPr>
    </w:p>
    <w:p w:rsidR="00F418D0" w:rsidRPr="0069260C" w:rsidRDefault="00806B24" w:rsidP="00F418D0">
      <w:pPr>
        <w:rPr>
          <w:rFonts w:asciiTheme="majorHAnsi" w:hAnsiTheme="majorHAnsi" w:cs="Arial"/>
        </w:rPr>
      </w:pPr>
      <w:r w:rsidRPr="00920B8A">
        <w:rPr>
          <w:rFonts w:ascii="Cambria" w:hAnsi="Cambria"/>
          <w:b/>
          <w:bCs/>
          <w:color w:val="000000"/>
          <w:shd w:val="clear" w:color="auto" w:fill="FFFFFF"/>
        </w:rPr>
        <w:sym w:font="Wingdings" w:char="F078"/>
      </w:r>
      <w:r>
        <w:rPr>
          <w:rFonts w:ascii="Cambria" w:hAnsi="Cambria"/>
          <w:b/>
          <w:bCs/>
          <w:color w:val="000000"/>
          <w:shd w:val="clear" w:color="auto" w:fill="FFFFFF"/>
        </w:rPr>
        <w:t xml:space="preserve"> </w:t>
      </w:r>
      <w:r w:rsidR="00F418D0" w:rsidRPr="0069260C">
        <w:rPr>
          <w:rFonts w:asciiTheme="majorHAnsi" w:hAnsiTheme="majorHAnsi" w:cs="Arial"/>
        </w:rPr>
        <w:t xml:space="preserve"> odnos cijene i kvaliteta </w:t>
      </w:r>
    </w:p>
    <w:p w:rsidR="00F418D0" w:rsidRDefault="00F418D0" w:rsidP="00F418D0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41E0D" w:rsidTr="00241E0D">
        <w:tc>
          <w:tcPr>
            <w:tcW w:w="9288" w:type="dxa"/>
          </w:tcPr>
          <w:p w:rsidR="00241E0D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sym w:font="Wingdings" w:char="F078"/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 w:rsidRPr="00241E0D">
              <w:rPr>
                <w:rFonts w:asciiTheme="majorHAnsi" w:hAnsiTheme="majorHAnsi" w:cs="Arial"/>
                <w:b/>
              </w:rPr>
              <w:t>odnos cijene i kvaliteta</w:t>
            </w:r>
            <w:r w:rsidRPr="0069260C">
              <w:rPr>
                <w:rFonts w:asciiTheme="majorHAnsi" w:hAnsiTheme="majorHAnsi" w:cs="Arial"/>
              </w:rPr>
              <w:t xml:space="preserve"> </w:t>
            </w:r>
            <w:r w:rsidRPr="00920B8A">
              <w:rPr>
                <w:rFonts w:ascii="Cambria" w:hAnsi="Cambria"/>
                <w:b/>
                <w:bCs/>
                <w:color w:val="000000"/>
              </w:rPr>
              <w:t>vršiće se na sljedeći način: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maksimalni broj bodova = 70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                     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3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Pr="00920B8A" w:rsidRDefault="00241E0D" w:rsidP="00241E0D">
            <w:pPr>
              <w:jc w:val="both"/>
              <w:rPr>
                <w:rFonts w:ascii="Cambria" w:hAnsi="Cambria"/>
                <w:b/>
                <w:bCs/>
                <w:color w:val="000000"/>
                <w:bdr w:val="single" w:sz="4" w:space="0" w:color="auto"/>
              </w:rPr>
            </w:pPr>
          </w:p>
          <w:p w:rsidR="00241E0D" w:rsidRPr="00920B8A" w:rsidRDefault="00241E0D" w:rsidP="00241E0D">
            <w:pPr>
              <w:tabs>
                <w:tab w:val="left" w:pos="5954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  <w:lang w:val="hr-HR"/>
              </w:rPr>
            </w:pPr>
          </w:p>
          <w:p w:rsidR="00241E0D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najniža ponuđena cijena </w:t>
            </w:r>
            <w:r w:rsidRPr="00920B8A">
              <w:rPr>
                <w:rFonts w:ascii="Cambria" w:hAnsi="Cambria"/>
                <w:b/>
                <w:color w:val="000000"/>
              </w:rPr>
              <w:t>vrednovaće se na sljedeći način:</w:t>
            </w:r>
          </w:p>
          <w:p w:rsidR="00241E0D" w:rsidRPr="00920B8A" w:rsidRDefault="00241E0D" w:rsidP="00241E0D">
            <w:pPr>
              <w:ind w:left="284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t>maksimalni broj bodova po ovom podkriterijumu= 70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920B8A">
              <w:rPr>
                <w:rFonts w:ascii="Cambria" w:hAnsi="Cambria"/>
                <w:b/>
                <w:sz w:val="24"/>
                <w:szCs w:val="24"/>
                <w:u w:val="single"/>
              </w:rPr>
              <w:t>NAJNIŽA PONUĐENA CIJENA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- je opredjeljujući podkriterijum za vrednovanje ponuda. Pod ponuđenom cijenom podrazumjeva se ukupna cijena za </w:t>
            </w:r>
            <w:r>
              <w:rPr>
                <w:rFonts w:ascii="Cambria" w:hAnsi="Cambria"/>
                <w:sz w:val="24"/>
                <w:szCs w:val="24"/>
              </w:rPr>
              <w:t>predmetnu robu</w:t>
            </w:r>
            <w:r w:rsidRPr="00920B8A">
              <w:rPr>
                <w:rFonts w:ascii="Cambria" w:hAnsi="Cambria"/>
                <w:sz w:val="24"/>
                <w:szCs w:val="24"/>
              </w:rPr>
              <w:t xml:space="preserve"> saglasno uslovima i u obimu određenim ovom dokumentacijom. 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jc w:val="both"/>
              <w:rPr>
                <w:rFonts w:ascii="Cambria" w:hAnsi="Cambria"/>
                <w:lang w:val="sr-Latn-CS"/>
              </w:rPr>
            </w:pPr>
            <w:r w:rsidRPr="00920B8A">
              <w:rPr>
                <w:rFonts w:ascii="Cambria" w:hAnsi="Cambria"/>
                <w:lang w:val="sr-Latn-CS"/>
              </w:rPr>
              <w:t>Ponuđaču koji ponudi najnižu cijenu dodijeliće se maksimalan broj bodova po ovom podkriterijumu (70), dok se bodovi ostalim ponuđačima dodjeljuju u zavisnosti od odnosa ukupne cijene koju su ponudili i najniže ponuđene cijene po sledećoj formuli:</w:t>
            </w: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bdr w:val="single" w:sz="4" w:space="0" w:color="auto"/>
              </w:rPr>
            </w:pPr>
          </w:p>
          <w:p w:rsidR="00241E0D" w:rsidRPr="00920B8A" w:rsidRDefault="00241E0D" w:rsidP="00241E0D">
            <w:pPr>
              <w:ind w:left="284"/>
              <w:jc w:val="center"/>
              <w:rPr>
                <w:rFonts w:ascii="Cambria" w:hAnsi="Cambria"/>
                <w:b/>
                <w:color w:val="000000"/>
                <w:bdr w:val="single" w:sz="4" w:space="0" w:color="auto"/>
              </w:rPr>
            </w:pP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(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>najniža ponuđena cijena / ponuđena cijena</w:t>
            </w:r>
            <w:r>
              <w:rPr>
                <w:rFonts w:ascii="Cambria" w:hAnsi="Cambria"/>
                <w:b/>
                <w:color w:val="000000"/>
                <w:bdr w:val="single" w:sz="4" w:space="0" w:color="auto"/>
              </w:rPr>
              <w:t>)</w:t>
            </w:r>
            <w:r w:rsidRPr="00920B8A">
              <w:rPr>
                <w:rFonts w:ascii="Cambria" w:hAnsi="Cambria"/>
                <w:b/>
                <w:color w:val="000000"/>
                <w:bdr w:val="single" w:sz="4" w:space="0" w:color="auto"/>
              </w:rPr>
              <w:t xml:space="preserve"> x 70 </w:t>
            </w: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10"/>
                <w:szCs w:val="10"/>
              </w:rPr>
            </w:pPr>
          </w:p>
          <w:p w:rsidR="00241E0D" w:rsidRPr="00920B8A" w:rsidRDefault="00241E0D" w:rsidP="00241E0D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</w:rPr>
            </w:pPr>
            <w:r w:rsidRPr="00920B8A">
              <w:rPr>
                <w:rFonts w:ascii="Cambria" w:hAnsi="Cambria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241E0D" w:rsidRPr="003E7C4B" w:rsidRDefault="00241E0D" w:rsidP="00241E0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p w:rsidR="00241E0D" w:rsidRDefault="00241E0D" w:rsidP="00241E0D">
            <w:pPr>
              <w:ind w:left="284"/>
              <w:rPr>
                <w:rFonts w:ascii="Cambria" w:hAnsi="Cambria"/>
                <w:b/>
                <w:color w:val="000000"/>
                <w:lang w:val="hr-HR"/>
              </w:rPr>
            </w:pPr>
            <w:r w:rsidRPr="00920B8A">
              <w:rPr>
                <w:rFonts w:ascii="Cambria" w:hAnsi="Cambria"/>
                <w:b/>
                <w:color w:val="000000"/>
                <w:lang w:val="hr-HR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podkriterijum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kvalitet (max. 30 bodova)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>vrednovaće se na sljedeći način: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>
              <w:rPr>
                <w:rFonts w:ascii="Cambria" w:hAnsi="Cambria"/>
                <w:b/>
                <w:color w:val="000000"/>
              </w:rPr>
              <w:t xml:space="preserve"> parametar: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rok isporuke robe             </w:t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2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Default="00241E0D" w:rsidP="00241E0D">
            <w:pPr>
              <w:jc w:val="both"/>
              <w:rPr>
                <w:rFonts w:ascii="Cambria" w:hAnsi="Cambria"/>
                <w:b/>
                <w:color w:val="000000"/>
              </w:rPr>
            </w:pPr>
            <w:r w:rsidRPr="00920B8A">
              <w:rPr>
                <w:rFonts w:ascii="Cambria" w:hAnsi="Cambria"/>
                <w:b/>
                <w:color w:val="000000"/>
              </w:rPr>
              <w:sym w:font="Wingdings" w:char="F078"/>
            </w: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lang w:val="hr-HR"/>
              </w:rPr>
              <w:t xml:space="preserve">parametar: garantni period                   </w:t>
            </w:r>
            <w:r w:rsidRPr="00920B8A">
              <w:rPr>
                <w:rFonts w:ascii="Cambria" w:hAnsi="Cambria"/>
                <w:b/>
                <w:color w:val="000000"/>
              </w:rPr>
              <w:t xml:space="preserve">maksimalni broj bodova = </w:t>
            </w:r>
            <w:r>
              <w:rPr>
                <w:rFonts w:ascii="Cambria" w:hAnsi="Cambria"/>
                <w:b/>
                <w:color w:val="000000"/>
              </w:rPr>
              <w:t>1</w:t>
            </w:r>
            <w:r w:rsidRPr="00920B8A">
              <w:rPr>
                <w:rFonts w:ascii="Cambria" w:hAnsi="Cambria"/>
                <w:b/>
                <w:color w:val="000000"/>
              </w:rPr>
              <w:t>0</w:t>
            </w:r>
          </w:p>
          <w:p w:rsidR="00241E0D" w:rsidRDefault="00241E0D" w:rsidP="00241E0D">
            <w:pPr>
              <w:ind w:left="284"/>
              <w:rPr>
                <w:rFonts w:ascii="Cambria" w:hAnsi="Cambria"/>
                <w:b/>
                <w:color w:val="000000"/>
                <w:lang w:val="hr-HR"/>
              </w:rPr>
            </w:pPr>
          </w:p>
          <w:p w:rsidR="00241E0D" w:rsidRPr="00920B8A" w:rsidRDefault="00241E0D" w:rsidP="00241E0D">
            <w:pPr>
              <w:ind w:left="284"/>
              <w:rPr>
                <w:rFonts w:ascii="Cambria" w:hAnsi="Cambria"/>
                <w:b/>
                <w:color w:val="000000"/>
                <w:sz w:val="10"/>
                <w:szCs w:val="10"/>
                <w:lang w:val="hr-HR"/>
              </w:rPr>
            </w:pPr>
            <w:r w:rsidRPr="00920B8A">
              <w:rPr>
                <w:rFonts w:ascii="Cambria" w:hAnsi="Cambria"/>
                <w:b/>
                <w:color w:val="000000"/>
                <w:lang w:val="hr-HR"/>
              </w:rPr>
              <w:t xml:space="preserve"> </w:t>
            </w:r>
          </w:p>
          <w:p w:rsidR="00241E0D" w:rsidRPr="003E7C4B" w:rsidRDefault="00241E0D" w:rsidP="00241E0D">
            <w:pPr>
              <w:ind w:left="284"/>
              <w:rPr>
                <w:rFonts w:ascii="Cambria" w:hAnsi="Cambria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9070"/>
            </w:tblGrid>
            <w:tr w:rsidR="00241E0D" w:rsidRPr="00920B8A" w:rsidTr="00A824F7">
              <w:tc>
                <w:tcPr>
                  <w:tcW w:w="9070" w:type="dxa"/>
                </w:tcPr>
                <w:p w:rsidR="00241E0D" w:rsidRDefault="00241E0D" w:rsidP="00A824F7">
                  <w:pPr>
                    <w:ind w:left="284"/>
                    <w:rPr>
                      <w:rFonts w:ascii="Cambria" w:hAnsi="Cambria"/>
                      <w:b/>
                      <w:color w:val="00000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sym w:font="Wingdings" w:char="F078"/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parametar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rok </w:t>
                  </w:r>
                  <w:r>
                    <w:rPr>
                      <w:rFonts w:ascii="Cambria" w:hAnsi="Cambria"/>
                      <w:b/>
                      <w:color w:val="000000"/>
                      <w:lang w:val="hr-HR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vrednovaće se na sljedeći način:</w:t>
                  </w:r>
                </w:p>
                <w:p w:rsidR="00241E0D" w:rsidRPr="00920B8A" w:rsidRDefault="00241E0D" w:rsidP="00A824F7">
                  <w:pPr>
                    <w:ind w:left="284"/>
                    <w:rPr>
                      <w:rFonts w:ascii="Cambria" w:hAnsi="Cambria"/>
                      <w:b/>
                      <w:color w:val="000000"/>
                      <w:sz w:val="10"/>
                      <w:szCs w:val="10"/>
                      <w:lang w:val="hr-HR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lang w:val="hr-HR"/>
                    </w:rPr>
                    <w:t xml:space="preserve"> </w:t>
                  </w:r>
                </w:p>
                <w:p w:rsidR="00241E0D" w:rsidRPr="00920B8A" w:rsidRDefault="00241E0D" w:rsidP="00A824F7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</w:rPr>
                    <w:t xml:space="preserve">maksimalni broj bodova po ovom podkriterijumu= </w:t>
                  </w:r>
                  <w:r>
                    <w:rPr>
                      <w:rFonts w:ascii="Cambria" w:hAnsi="Cambria"/>
                      <w:b/>
                      <w:color w:val="000000"/>
                    </w:rPr>
                    <w:t>2</w:t>
                  </w:r>
                  <w:r w:rsidRPr="00920B8A">
                    <w:rPr>
                      <w:rFonts w:ascii="Cambria" w:hAnsi="Cambria"/>
                      <w:b/>
                      <w:color w:val="000000"/>
                    </w:rPr>
                    <w:t>0</w:t>
                  </w:r>
                </w:p>
                <w:p w:rsidR="00241E0D" w:rsidRPr="003E7C4B" w:rsidRDefault="00241E0D" w:rsidP="00A824F7">
                  <w:pPr>
                    <w:ind w:left="284"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241E0D" w:rsidRPr="003E7C4B" w:rsidRDefault="00241E0D" w:rsidP="00A824F7">
                  <w:pPr>
                    <w:ind w:left="284"/>
                    <w:jc w:val="both"/>
                    <w:rPr>
                      <w:rFonts w:ascii="Cambria" w:hAnsi="Cambria"/>
                      <w:color w:val="000000"/>
                      <w:sz w:val="16"/>
                      <w:szCs w:val="16"/>
                      <w:bdr w:val="single" w:sz="4" w:space="0" w:color="auto"/>
                    </w:rPr>
                  </w:pPr>
                </w:p>
                <w:p w:rsidR="00241E0D" w:rsidRPr="00920B8A" w:rsidRDefault="00241E0D" w:rsidP="00A824F7">
                  <w:pPr>
                    <w:pStyle w:val="ListParagraph"/>
                    <w:spacing w:before="0" w:after="0" w:line="240" w:lineRule="auto"/>
                    <w:ind w:left="0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ROK </w:t>
                  </w:r>
                  <w:r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- je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parametar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vrednovanje ponuda</w:t>
                  </w:r>
                  <w:r w:rsidR="00B51724">
                    <w:rPr>
                      <w:rFonts w:ascii="Cambria" w:hAnsi="Cambria"/>
                      <w:sz w:val="24"/>
                      <w:szCs w:val="24"/>
                    </w:rPr>
                    <w:t xml:space="preserve"> podkriterujuma kvalitet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, pod kojim se podrazumijeva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rok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za koji će ponuđači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isporučiti robu</w:t>
                  </w:r>
                  <w:r w:rsidRPr="00920B8A">
                    <w:rPr>
                      <w:rFonts w:ascii="Cambria" w:hAnsi="Cambria"/>
                      <w:sz w:val="24"/>
                      <w:szCs w:val="24"/>
                    </w:rPr>
                    <w:t xml:space="preserve"> od dana prijema sukcesivnog zahtjeva i iskazuje se u kalendarskim danima. </w:t>
                  </w:r>
                </w:p>
                <w:p w:rsidR="00241E0D" w:rsidRPr="00920B8A" w:rsidRDefault="00241E0D" w:rsidP="00A824F7">
                  <w:pPr>
                    <w:jc w:val="both"/>
                    <w:rPr>
                      <w:rFonts w:ascii="Cambria" w:hAnsi="Cambria"/>
                      <w:color w:val="000000"/>
                      <w:sz w:val="10"/>
                      <w:szCs w:val="10"/>
                      <w:bdr w:val="single" w:sz="4" w:space="0" w:color="auto"/>
                    </w:rPr>
                  </w:pPr>
                </w:p>
                <w:p w:rsidR="00241E0D" w:rsidRPr="00920B8A" w:rsidRDefault="00241E0D" w:rsidP="00A824F7">
                  <w:pPr>
                    <w:jc w:val="both"/>
                    <w:rPr>
                      <w:rFonts w:ascii="Cambria" w:hAnsi="Cambria"/>
                      <w:lang w:val="sr-Latn-CS"/>
                    </w:rPr>
                  </w:pPr>
                  <w:r w:rsidRPr="00920B8A">
                    <w:rPr>
                      <w:rFonts w:ascii="Cambria" w:hAnsi="Cambria"/>
                      <w:lang w:val="sr-Latn-CS"/>
                    </w:rPr>
                    <w:t xml:space="preserve">Ponuđaču koji ponudi najkraći rok </w:t>
                  </w:r>
                  <w:r>
                    <w:rPr>
                      <w:rFonts w:ascii="Cambria" w:hAnsi="Cambria"/>
                      <w:color w:val="000000"/>
                      <w:lang w:val="hr-HR"/>
                    </w:rPr>
                    <w:t>isporuke robe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, dodijeliće se maksimalan broj bodova po ovom </w:t>
                  </w:r>
                  <w:r w:rsidR="00B51724">
                    <w:rPr>
                      <w:rFonts w:ascii="Cambria" w:hAnsi="Cambria"/>
                      <w:lang w:val="sr-Latn-CS"/>
                    </w:rPr>
                    <w:t>parametr</w:t>
                  </w:r>
                  <w:r w:rsidRPr="00920B8A">
                    <w:rPr>
                      <w:rFonts w:ascii="Cambria" w:hAnsi="Cambria"/>
                      <w:lang w:val="sr-Latn-CS"/>
                    </w:rPr>
                    <w:t>u (</w:t>
                  </w:r>
                  <w:r>
                    <w:rPr>
                      <w:rFonts w:ascii="Cambria" w:hAnsi="Cambria"/>
                      <w:lang w:val="sr-Latn-CS"/>
                    </w:rPr>
                    <w:t>2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0), dok bodovi ostalim ponuđačima dodijeliće se proporcionalno u odnosu na najkraći rok </w:t>
                  </w:r>
                  <w:r>
                    <w:rPr>
                      <w:rFonts w:ascii="Cambria" w:hAnsi="Cambria"/>
                      <w:lang w:val="sr-Latn-CS"/>
                    </w:rPr>
                    <w:t>isporuke robe</w:t>
                  </w:r>
                  <w:r w:rsidRPr="00920B8A">
                    <w:rPr>
                      <w:rFonts w:ascii="Cambria" w:hAnsi="Cambria"/>
                      <w:lang w:val="sr-Latn-CS"/>
                    </w:rPr>
                    <w:t xml:space="preserve"> po sledećoj formuli:</w:t>
                  </w:r>
                </w:p>
                <w:p w:rsidR="00241E0D" w:rsidRPr="00920B8A" w:rsidRDefault="00241E0D" w:rsidP="00A824F7">
                  <w:pPr>
                    <w:jc w:val="both"/>
                    <w:rPr>
                      <w:rFonts w:ascii="Cambria" w:hAnsi="Cambria"/>
                      <w:sz w:val="10"/>
                      <w:szCs w:val="10"/>
                      <w:lang w:val="sr-Latn-CS"/>
                    </w:rPr>
                  </w:pPr>
                </w:p>
                <w:p w:rsidR="00241E0D" w:rsidRPr="00920B8A" w:rsidRDefault="00241E0D" w:rsidP="00A824F7">
                  <w:pPr>
                    <w:ind w:left="284"/>
                    <w:jc w:val="center"/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</w:pP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broj bodova =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(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najkraći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/ ponuđeni rok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isporuke robe)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 x </w:t>
                  </w:r>
                  <w:r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>2</w:t>
                  </w:r>
                  <w:r w:rsidRPr="00920B8A">
                    <w:rPr>
                      <w:rFonts w:ascii="Cambria" w:hAnsi="Cambria"/>
                      <w:b/>
                      <w:color w:val="000000"/>
                      <w:bdr w:val="single" w:sz="4" w:space="0" w:color="auto"/>
                    </w:rPr>
                    <w:t xml:space="preserve">0 </w:t>
                  </w:r>
                </w:p>
                <w:tbl>
                  <w:tblPr>
                    <w:tblW w:w="0" w:type="auto"/>
                    <w:tblInd w:w="2" w:type="dxa"/>
                    <w:tblLook w:val="00A0" w:firstRow="1" w:lastRow="0" w:firstColumn="1" w:lastColumn="0" w:noHBand="0" w:noVBand="0"/>
                  </w:tblPr>
                  <w:tblGrid>
                    <w:gridCol w:w="8852"/>
                  </w:tblGrid>
                  <w:tr w:rsidR="00241E0D" w:rsidRPr="00920B8A" w:rsidTr="00A824F7">
                    <w:tc>
                      <w:tcPr>
                        <w:tcW w:w="8852" w:type="dxa"/>
                      </w:tcPr>
                      <w:p w:rsidR="00241E0D" w:rsidRPr="00920B8A" w:rsidRDefault="00241E0D" w:rsidP="00A824F7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241E0D" w:rsidRDefault="00241E0D" w:rsidP="00A824F7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241E0D" w:rsidRDefault="00241E0D" w:rsidP="00A824F7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sym w:font="Wingdings" w:char="F078"/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</w:t>
                        </w:r>
                        <w:r w:rsidR="00B51724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>parametar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lang w:val="hr-HR"/>
                          </w:rPr>
                          <w:t xml:space="preserve"> garantni period vrednovaće se na sljedeći način: </w:t>
                        </w:r>
                      </w:p>
                      <w:p w:rsidR="00241E0D" w:rsidRPr="00920B8A" w:rsidRDefault="00241E0D" w:rsidP="00A824F7">
                        <w:pPr>
                          <w:ind w:left="284"/>
                          <w:rPr>
                            <w:rFonts w:ascii="Cambria" w:hAnsi="Cambria"/>
                            <w:b/>
                            <w:color w:val="000000"/>
                            <w:sz w:val="10"/>
                            <w:szCs w:val="10"/>
                            <w:lang w:val="hr-HR"/>
                          </w:rPr>
                        </w:pPr>
                      </w:p>
                      <w:p w:rsidR="00241E0D" w:rsidRDefault="00241E0D" w:rsidP="00A824F7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 xml:space="preserve">maksimalni broj bodova po ovom podkriterijumu=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</w:rPr>
                          <w:t>0</w:t>
                        </w:r>
                      </w:p>
                      <w:p w:rsidR="00241E0D" w:rsidRPr="00920B8A" w:rsidRDefault="00241E0D" w:rsidP="00A824F7">
                        <w:pPr>
                          <w:ind w:left="284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241E0D" w:rsidRPr="00920B8A" w:rsidRDefault="00241E0D" w:rsidP="00A824F7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u w:val="single"/>
                          </w:rPr>
                          <w:t>GARANTNI PERIOD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je </w:t>
                        </w:r>
                        <w:r w:rsidR="00806B24">
                          <w:rPr>
                            <w:rFonts w:ascii="Cambria" w:hAnsi="Cambria"/>
                          </w:rPr>
                          <w:t>parametar</w:t>
                        </w:r>
                        <w:r w:rsidR="00806B24" w:rsidRPr="00920B8A">
                          <w:rPr>
                            <w:rFonts w:ascii="Cambria" w:hAnsi="Cambria"/>
                          </w:rPr>
                          <w:t xml:space="preserve"> za vrednovanje ponuda</w:t>
                        </w:r>
                        <w:r w:rsidR="00806B24">
                          <w:rPr>
                            <w:rFonts w:ascii="Cambria" w:hAnsi="Cambria"/>
                          </w:rPr>
                          <w:t xml:space="preserve"> podkriterujuma kvalitet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. Pod garantnim periodom se podrazumijeva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rok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u kojem ponuđač garantuje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svojstva robe da su u svemu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 prema specifikaciji koja je sastavni dio Tenderske dokumentacije i računa se od dana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isporuke robe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.</w:t>
                        </w:r>
                      </w:p>
                      <w:p w:rsidR="00241E0D" w:rsidRPr="00920B8A" w:rsidRDefault="00241E0D" w:rsidP="00A824F7">
                        <w:pPr>
                          <w:ind w:left="162"/>
                          <w:jc w:val="both"/>
                          <w:rPr>
                            <w:rFonts w:ascii="Cambria" w:hAnsi="Cambria"/>
                            <w:color w:val="000000"/>
                            <w:sz w:val="10"/>
                            <w:szCs w:val="10"/>
                          </w:rPr>
                        </w:pPr>
                      </w:p>
                      <w:p w:rsidR="00241E0D" w:rsidRPr="00920B8A" w:rsidRDefault="00241E0D" w:rsidP="00A824F7">
                        <w:pPr>
                          <w:jc w:val="both"/>
                          <w:rPr>
                            <w:rFonts w:ascii="Cambria" w:hAnsi="Cambria"/>
                            <w:color w:val="000000"/>
                          </w:rPr>
                        </w:pP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Ponuđaču koji ponudi najduži garantni period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 (garantni rok)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, dodijeliće se maksimalan broj bodova po ovom </w:t>
                        </w:r>
                        <w:r w:rsidR="00806B24">
                          <w:rPr>
                            <w:rFonts w:ascii="Cambria" w:hAnsi="Cambria"/>
                            <w:color w:val="000000"/>
                          </w:rPr>
                          <w:t>parametr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u (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0), dok se bo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>dovi ostalim ponuđačima dodijel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 xml:space="preserve">juju proporcionalno u odnosu na najduži ponuđeni garantni period </w:t>
                        </w:r>
                        <w:r>
                          <w:rPr>
                            <w:rFonts w:ascii="Cambria" w:hAnsi="Cambria"/>
                            <w:color w:val="000000"/>
                          </w:rPr>
                          <w:t xml:space="preserve">(garantni rok) </w:t>
                        </w:r>
                        <w:r w:rsidRPr="00920B8A">
                          <w:rPr>
                            <w:rFonts w:ascii="Cambria" w:hAnsi="Cambria"/>
                            <w:color w:val="000000"/>
                          </w:rPr>
                          <w:t>po sledećoj formuli:</w:t>
                        </w:r>
                      </w:p>
                      <w:p w:rsidR="00241E0D" w:rsidRPr="00920B8A" w:rsidRDefault="00241E0D" w:rsidP="00A824F7">
                        <w:pPr>
                          <w:ind w:left="284"/>
                          <w:jc w:val="both"/>
                          <w:rPr>
                            <w:rFonts w:ascii="Cambria" w:hAnsi="Cambria"/>
                            <w:sz w:val="10"/>
                            <w:szCs w:val="10"/>
                            <w:lang w:val="sr-Latn-CS"/>
                          </w:rPr>
                        </w:pPr>
                      </w:p>
                      <w:p w:rsidR="00241E0D" w:rsidRPr="00920B8A" w:rsidRDefault="00241E0D" w:rsidP="00A824F7">
                        <w:pPr>
                          <w:ind w:left="284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broj bodova = (ponuđena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dužina garantnog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roka / najveća ponuđena dužina  garantnog roka)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 xml:space="preserve"> x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1</w:t>
                        </w:r>
                        <w:r w:rsidRPr="00920B8A">
                          <w:rPr>
                            <w:rFonts w:ascii="Cambria" w:hAnsi="Cambria"/>
                            <w:b/>
                            <w:color w:val="000000"/>
                            <w:bdr w:val="single" w:sz="4" w:space="0" w:color="auto"/>
                          </w:rPr>
                          <w:t>0</w:t>
                        </w:r>
                      </w:p>
                      <w:p w:rsidR="00241E0D" w:rsidRDefault="00241E0D" w:rsidP="00A824F7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</w:p>
                      <w:p w:rsidR="00997054" w:rsidRPr="00920B8A" w:rsidRDefault="00997054" w:rsidP="00A824F7">
                        <w:pPr>
                          <w:jc w:val="both"/>
                          <w:rPr>
                            <w:rFonts w:ascii="Cambria" w:hAnsi="Cambria"/>
                            <w:bCs/>
                            <w:i/>
                            <w:iCs/>
                            <w:color w:val="000000"/>
                            <w:lang w:val="hr-HR"/>
                          </w:rPr>
                        </w:pPr>
                        <w:r w:rsidRPr="009C71CD">
                          <w:rPr>
                            <w:rFonts w:asciiTheme="majorHAnsi" w:hAnsiTheme="majorHAnsi"/>
                            <w:b/>
                          </w:rPr>
                          <w:t xml:space="preserve">Ponuđač je dužan da se u ponudi izjasni </w:t>
                        </w:r>
                        <w:r>
                          <w:rPr>
                            <w:rFonts w:asciiTheme="majorHAnsi" w:hAnsiTheme="majorHAnsi"/>
                            <w:b/>
                          </w:rPr>
                          <w:t>o roku isporuke robe i garantnom periodu.</w:t>
                        </w:r>
                      </w:p>
                    </w:tc>
                  </w:tr>
                </w:tbl>
                <w:p w:rsidR="00241E0D" w:rsidRPr="00920B8A" w:rsidRDefault="00241E0D" w:rsidP="00A824F7">
                  <w:pPr>
                    <w:jc w:val="both"/>
                    <w:rPr>
                      <w:rFonts w:ascii="Cambria" w:hAnsi="Cambria"/>
                      <w:b/>
                      <w:bCs/>
                      <w:color w:val="000000"/>
                      <w:lang w:val="hr-HR"/>
                    </w:rPr>
                  </w:pPr>
                </w:p>
              </w:tc>
            </w:tr>
          </w:tbl>
          <w:p w:rsidR="00241E0D" w:rsidRDefault="00241E0D" w:rsidP="00F418D0">
            <w:pPr>
              <w:rPr>
                <w:rFonts w:asciiTheme="majorHAnsi" w:hAnsiTheme="majorHAnsi" w:cs="Arial"/>
              </w:rPr>
            </w:pPr>
          </w:p>
        </w:tc>
      </w:tr>
    </w:tbl>
    <w:p w:rsidR="00BB303D" w:rsidRPr="00601FCE" w:rsidRDefault="00BB303D" w:rsidP="00BB303D">
      <w:pPr>
        <w:rPr>
          <w:rFonts w:ascii="Arial" w:hAnsi="Arial" w:cs="Arial"/>
        </w:rPr>
      </w:pPr>
    </w:p>
    <w:p w:rsidR="00BB303D" w:rsidRPr="00806B24" w:rsidRDefault="00BB303D" w:rsidP="00BB303D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4" w:name="_Toc44578273"/>
      <w:r w:rsidRPr="00806B24">
        <w:rPr>
          <w:rFonts w:asciiTheme="majorHAnsi" w:hAnsiTheme="majorHAnsi" w:cs="Arial"/>
          <w:b/>
          <w:bCs/>
        </w:rPr>
        <w:t>UPUTSTVO ZA SAČINJAVANJE PONUDE</w:t>
      </w:r>
      <w:bookmarkEnd w:id="4"/>
    </w:p>
    <w:p w:rsidR="00BB303D" w:rsidRPr="00806B24" w:rsidRDefault="00BB303D" w:rsidP="00BB303D">
      <w:pPr>
        <w:rPr>
          <w:rFonts w:asciiTheme="majorHAnsi" w:hAnsiTheme="majorHAnsi" w:cs="Arial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806B24" w:rsidRDefault="00806B24" w:rsidP="00BB303D">
      <w:pPr>
        <w:jc w:val="both"/>
        <w:rPr>
          <w:rFonts w:asciiTheme="majorHAnsi" w:hAnsiTheme="majorHAnsi" w:cs="Arial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806B24" w:rsidRDefault="00806B24" w:rsidP="00BB303D">
      <w:pPr>
        <w:jc w:val="both"/>
        <w:rPr>
          <w:rFonts w:asciiTheme="majorHAnsi" w:hAnsiTheme="majorHAnsi" w:cs="Arial"/>
        </w:rPr>
      </w:pPr>
    </w:p>
    <w:p w:rsidR="00BB303D" w:rsidRPr="00806B24" w:rsidRDefault="00BB303D" w:rsidP="00BB303D">
      <w:pPr>
        <w:jc w:val="both"/>
        <w:rPr>
          <w:rFonts w:asciiTheme="majorHAnsi" w:hAnsiTheme="majorHAnsi" w:cs="Arial"/>
          <w:i/>
          <w:iCs/>
          <w:color w:val="000000"/>
        </w:rPr>
      </w:pPr>
      <w:r w:rsidRPr="00806B24">
        <w:rPr>
          <w:rFonts w:asciiTheme="majorHAnsi" w:hAnsiTheme="majorHAnsi" w:cs="Arial"/>
        </w:rPr>
        <w:t xml:space="preserve">Ponuđač je dužan da tačno i nedvosmisleno popuni </w:t>
      </w:r>
      <w:r w:rsidRPr="00806B24">
        <w:rPr>
          <w:rFonts w:asciiTheme="majorHAnsi" w:eastAsia="Calibri" w:hAnsiTheme="majorHAnsi" w:cs="Arial"/>
        </w:rPr>
        <w:t>Izjavu privrednog subjekta u skladu sa zahtjevima iz tenderske dokumentacije.</w:t>
      </w:r>
    </w:p>
    <w:p w:rsidR="00BB303D" w:rsidRPr="00601FCE" w:rsidRDefault="00BB303D" w:rsidP="00BB303D">
      <w:pPr>
        <w:jc w:val="both"/>
        <w:rPr>
          <w:rFonts w:ascii="Arial" w:hAnsi="Arial" w:cs="Arial"/>
          <w:b/>
          <w:bCs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4578274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5"/>
    </w:p>
    <w:p w:rsidR="00F418D0" w:rsidRPr="0069260C" w:rsidRDefault="00F418D0" w:rsidP="00F418D0">
      <w:pPr>
        <w:jc w:val="both"/>
        <w:rPr>
          <w:rFonts w:asciiTheme="majorHAnsi" w:hAnsiTheme="majorHAnsi" w:cs="Arial"/>
          <w:i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806B24" w:rsidRDefault="00806B24" w:rsidP="00F418D0">
      <w:pPr>
        <w:rPr>
          <w:rFonts w:ascii="Cambria" w:hAnsi="Cambria"/>
          <w:b/>
          <w:i/>
          <w:sz w:val="23"/>
          <w:szCs w:val="23"/>
          <w:lang w:val="sr-Latn-CS"/>
        </w:rPr>
      </w:pPr>
    </w:p>
    <w:p w:rsidR="00806B24" w:rsidRDefault="00806B24" w:rsidP="00F418D0">
      <w:pPr>
        <w:rPr>
          <w:rFonts w:ascii="Cambria" w:hAnsi="Cambria"/>
          <w:b/>
          <w:i/>
          <w:sz w:val="23"/>
          <w:szCs w:val="23"/>
          <w:lang w:val="sr-Latn-CS"/>
        </w:rPr>
      </w:pPr>
    </w:p>
    <w:p w:rsidR="00806B24" w:rsidRDefault="00806B24" w:rsidP="00F418D0">
      <w:pPr>
        <w:rPr>
          <w:rFonts w:ascii="Cambria" w:hAnsi="Cambria"/>
          <w:b/>
          <w:i/>
          <w:sz w:val="23"/>
          <w:szCs w:val="23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06B24" w:rsidTr="00806B24">
        <w:tc>
          <w:tcPr>
            <w:tcW w:w="9288" w:type="dxa"/>
          </w:tcPr>
          <w:p w:rsidR="00806B24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i prava Dobavljača</w:t>
            </w:r>
          </w:p>
          <w:p w:rsidR="00806B24" w:rsidRPr="008B1A14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highlight w:val="yellow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Obaveze Dobavljača su da:</w:t>
            </w:r>
          </w:p>
          <w:p w:rsidR="00806B24" w:rsidRPr="0029528D" w:rsidRDefault="00806B24" w:rsidP="00806B24">
            <w:pPr>
              <w:numPr>
                <w:ilvl w:val="0"/>
                <w:numId w:val="8"/>
              </w:numPr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v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 xml:space="preserve">rši sukcesivne isporuke, 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montažu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ugradnju 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 xml:space="preserve"> i puštanje u rad robe;</w:t>
            </w:r>
          </w:p>
          <w:p w:rsidR="00806B24" w:rsidRPr="00322B2C" w:rsidRDefault="00806B24" w:rsidP="00806B24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postupi po svim opravdanim primjedbama Kupca u slučaju konstatovanja nedostataka na isporučenoj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, montiranoj, ugrađenoj i robi koja je puštena u rad</w:t>
            </w: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jc w:val="both"/>
              <w:rPr>
                <w:rFonts w:ascii="Cambria" w:hAnsi="Cambria"/>
                <w:color w:val="000000"/>
                <w:sz w:val="23"/>
                <w:szCs w:val="23"/>
              </w:rPr>
            </w:pPr>
            <w:r w:rsidRPr="00322B2C">
              <w:rPr>
                <w:rFonts w:ascii="Cambria" w:hAnsi="Cambria"/>
                <w:color w:val="000000"/>
                <w:sz w:val="23"/>
                <w:szCs w:val="23"/>
              </w:rPr>
              <w:t>Prava Dobavljača su da traži isplatu ugovorene cijene, u novcu, po uredno obavljenom poslu i prijemu odgovarajuće dokumentacije koja to potvrđuje.</w:t>
            </w:r>
          </w:p>
          <w:p w:rsidR="00806B24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prijem usluge (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e i puštanje u rad)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saglasno važećim standardima iz predmetne oblasti,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kada ovlašćeno lice Kupca u mjestu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ugradnje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izvrši prijem robe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usluge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, što se potvrđuje odgovarajućim Zapisnikom koji potpisuju ovlašćena lica Kupca i Dobavljača.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>
              <w:rPr>
                <w:rFonts w:asciiTheme="majorHAnsi" w:hAnsiTheme="majorHAnsi"/>
                <w:sz w:val="23"/>
                <w:szCs w:val="23"/>
                <w:lang w:val="nl-NL"/>
              </w:rPr>
              <w:t>Zapisnik/ci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njima ispostavljena faktura od strane Dobavljača čine osnov za plaćanje.</w:t>
            </w: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montažu, ugradnju i puštanje u rad robe,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koja ima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322B2C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Ako se zapisnički utvrdi da roba koju je Dobavljač isporučio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 montirao, ugradio i pustio u rad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30</w:t>
            </w:r>
            <w:r w:rsidRPr="00322B2C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 dana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,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montiranu i ugrađenu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svojstava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.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</w:p>
          <w:p w:rsidR="00806B24" w:rsidRPr="005A17C1" w:rsidRDefault="00806B24" w:rsidP="00806B24">
            <w:pPr>
              <w:pStyle w:val="ListParagraph"/>
              <w:spacing w:before="0" w:after="0" w:line="240" w:lineRule="auto"/>
              <w:ind w:left="0"/>
              <w:jc w:val="both"/>
              <w:rPr>
                <w:rFonts w:ascii="Cambria" w:hAnsi="Cambria" w:cs="Arial"/>
                <w:b/>
                <w:i/>
                <w:sz w:val="23"/>
                <w:szCs w:val="23"/>
              </w:rPr>
            </w:pPr>
            <w:r w:rsidRPr="005A17C1">
              <w:rPr>
                <w:rFonts w:ascii="Cambria" w:hAnsi="Cambria" w:cs="Arial"/>
                <w:b/>
                <w:i/>
                <w:sz w:val="23"/>
                <w:szCs w:val="23"/>
              </w:rPr>
              <w:t xml:space="preserve">Garantni period </w:t>
            </w:r>
          </w:p>
          <w:p w:rsidR="00806B24" w:rsidRPr="00792B24" w:rsidRDefault="00806B24" w:rsidP="00806B24">
            <w:pPr>
              <w:jc w:val="center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806B24" w:rsidRPr="00B9794A" w:rsidRDefault="00806B24" w:rsidP="00806B24">
            <w:pPr>
              <w:jc w:val="both"/>
              <w:rPr>
                <w:rFonts w:ascii="Cambria" w:hAnsi="Cambria"/>
                <w:color w:val="002060"/>
                <w:sz w:val="23"/>
                <w:szCs w:val="23"/>
                <w:lang w:val="sr-Latn-CS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garantuje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 da su 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predmetn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rob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i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izvršene usluge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 montaže, ugradnje i puštanja u rad u svemu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prema standardima koji važe za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predmetnu robu i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>predmetn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uslug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u toku važenja garantnog roka od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_____ mjeseci/godine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od dana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puštanja u rad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 xml:space="preserve">predmetne robe 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od strane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Kupca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. </w:t>
            </w:r>
          </w:p>
          <w:p w:rsidR="00806B24" w:rsidRPr="00B02570" w:rsidRDefault="00806B24" w:rsidP="00806B24">
            <w:pPr>
              <w:jc w:val="both"/>
              <w:rPr>
                <w:rFonts w:ascii="Cambria" w:hAnsi="Cambria"/>
                <w:color w:val="0D0D0D"/>
                <w:sz w:val="16"/>
                <w:szCs w:val="16"/>
                <w:lang w:val="sr-Latn-CS"/>
              </w:rPr>
            </w:pPr>
          </w:p>
          <w:p w:rsidR="00806B24" w:rsidRPr="00B9794A" w:rsidRDefault="00806B24" w:rsidP="00806B24">
            <w:pPr>
              <w:jc w:val="both"/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>Garancij</w:t>
            </w:r>
            <w:r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>a</w:t>
            </w:r>
            <w:r w:rsidRPr="00B9794A"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 xml:space="preserve"> </w:t>
            </w:r>
            <w:r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>je</w:t>
            </w:r>
            <w:r w:rsidRPr="00B9794A">
              <w:rPr>
                <w:rFonts w:ascii="Cambria" w:hAnsi="Cambria"/>
                <w:color w:val="0D0D0D"/>
                <w:sz w:val="23"/>
                <w:szCs w:val="23"/>
                <w:lang w:val="sr-Latn-CS"/>
              </w:rPr>
              <w:t xml:space="preserve"> prema važećim standardima i propisima.</w:t>
            </w:r>
          </w:p>
          <w:p w:rsidR="00806B24" w:rsidRPr="00B02570" w:rsidRDefault="00806B24" w:rsidP="00806B24">
            <w:pPr>
              <w:jc w:val="both"/>
              <w:rPr>
                <w:rFonts w:ascii="Cambria" w:hAnsi="Cambria"/>
                <w:sz w:val="16"/>
                <w:szCs w:val="16"/>
                <w:lang w:val="sr-Latn-CS"/>
              </w:rPr>
            </w:pP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U slučaju reklamacija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, prihvaćenih od strane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Kupca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, </w:t>
            </w:r>
            <w:r w:rsidRPr="00322B2C">
              <w:rPr>
                <w:rFonts w:asciiTheme="majorHAnsi" w:hAnsiTheme="majorHAnsi"/>
                <w:sz w:val="23"/>
                <w:szCs w:val="23"/>
                <w:lang w:val="nl-NL"/>
              </w:rPr>
              <w:t>Dobavljač</w:t>
            </w:r>
            <w:r w:rsidRPr="00B9794A">
              <w:rPr>
                <w:rFonts w:ascii="Cambria" w:hAnsi="Cambria"/>
                <w:sz w:val="23"/>
                <w:szCs w:val="23"/>
                <w:lang w:val="sr-Latn-CS"/>
              </w:rPr>
              <w:t xml:space="preserve"> se obavezuje da ponovo vrši uslugu koja je bila predmet reklamacije, u toku važenja garantnog roka, uz obavezu produženja vremensk</w:t>
            </w:r>
            <w:r>
              <w:rPr>
                <w:rFonts w:ascii="Cambria" w:hAnsi="Cambria"/>
                <w:sz w:val="23"/>
                <w:szCs w:val="23"/>
                <w:lang w:val="sr-Latn-CS"/>
              </w:rPr>
              <w:t>e garancije za predmetnu robu i uslugu.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 i prava Kupca</w:t>
            </w:r>
          </w:p>
          <w:p w:rsidR="00806B24" w:rsidRPr="00E926FF" w:rsidRDefault="00806B24" w:rsidP="00806B24">
            <w:pPr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806B24" w:rsidRDefault="00806B24" w:rsidP="00806B24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sz w:val="23"/>
                <w:szCs w:val="23"/>
                <w:lang w:val="sr-Latn-CS"/>
              </w:rPr>
              <w:t>Obaveze Kupca su da:</w:t>
            </w:r>
          </w:p>
          <w:p w:rsidR="00806B24" w:rsidRPr="008943CC" w:rsidRDefault="00806B24" w:rsidP="00806B24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i/>
                <w:sz w:val="23"/>
                <w:szCs w:val="23"/>
                <w:lang w:val="sr-Latn-CS"/>
              </w:rPr>
              <w:t>omogući da Dobavljač vrši sukcesivne isporuke</w:t>
            </w:r>
            <w: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 xml:space="preserve">, </w:t>
            </w:r>
            <w:r w:rsidRPr="008943CC">
              <w:rPr>
                <w:rFonts w:ascii="Cambria" w:hAnsi="Cambria"/>
                <w:i/>
                <w:color w:val="000000"/>
                <w:sz w:val="23"/>
                <w:szCs w:val="23"/>
              </w:rPr>
              <w:t>montažu, ugradnju  i puštanje u rad robe,</w:t>
            </w:r>
          </w:p>
          <w:p w:rsidR="00806B24" w:rsidRPr="00322B2C" w:rsidRDefault="00806B24" w:rsidP="00806B24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i/>
                <w:sz w:val="23"/>
                <w:szCs w:val="23"/>
                <w:lang w:val="sr-Latn-CS"/>
              </w:rPr>
              <w:t>vrši isplatu ugovorene cijene za izvršene sukcesivne isporuke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>,</w:t>
            </w:r>
            <w:r w:rsidRPr="004C3605">
              <w:rPr>
                <w:rFonts w:ascii="Cambria" w:hAnsi="Cambria"/>
                <w:color w:val="000000"/>
                <w:sz w:val="23"/>
                <w:szCs w:val="23"/>
              </w:rPr>
              <w:t xml:space="preserve"> 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>montažu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>,</w:t>
            </w:r>
            <w:r w:rsidRPr="0029528D">
              <w:rPr>
                <w:rFonts w:ascii="Cambria" w:hAnsi="Cambria"/>
                <w:color w:val="000000"/>
                <w:sz w:val="23"/>
                <w:szCs w:val="23"/>
              </w:rPr>
              <w:t xml:space="preserve"> ugradnju</w:t>
            </w:r>
            <w:r>
              <w:rPr>
                <w:rFonts w:ascii="Cambria" w:hAnsi="Cambria"/>
                <w:color w:val="000000"/>
                <w:sz w:val="23"/>
                <w:szCs w:val="23"/>
              </w:rPr>
              <w:t xml:space="preserve"> i puštanje u rad robe</w:t>
            </w:r>
            <w:r w:rsidRPr="00322B2C">
              <w:rPr>
                <w:rFonts w:ascii="Cambria" w:hAnsi="Cambria"/>
                <w:i/>
                <w:sz w:val="23"/>
                <w:szCs w:val="23"/>
                <w:lang w:val="sr-Latn-CS"/>
              </w:rPr>
              <w:t>,</w:t>
            </w:r>
            <w:r w:rsidRPr="00322B2C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 u novcu, po uredno obavljenom poslu i prijemu odgovarajuće dokumentacije koja to potvrđuje</w:t>
            </w:r>
            <w: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Default="00806B24" w:rsidP="00806B24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sz w:val="23"/>
                <w:szCs w:val="23"/>
                <w:lang w:val="sr-Latn-CS"/>
              </w:rPr>
              <w:lastRenderedPageBreak/>
              <w:t>Prava Kupca su da:</w:t>
            </w:r>
          </w:p>
          <w:p w:rsidR="00806B24" w:rsidRPr="00E926FF" w:rsidRDefault="00806B24" w:rsidP="00806B24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E926FF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zahtjeva izvršenje sukcesivne isporuke, </w:t>
            </w:r>
            <w:r w:rsidRPr="00E926FF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montažu, ugradnju  i puštanje u rad </w:t>
            </w:r>
            <w:r w:rsidRPr="00E926FF">
              <w:rPr>
                <w:rFonts w:ascii="Cambria" w:hAnsi="Cambria"/>
                <w:i/>
                <w:sz w:val="23"/>
                <w:szCs w:val="23"/>
                <w:lang w:val="sr-Latn-CS"/>
              </w:rPr>
              <w:t>predmetne robe i ispunjenje ostalih obaveza Dobavljača predviđenih ovim Ugovorom i Tenderskom dokumentacijom,</w:t>
            </w:r>
          </w:p>
          <w:p w:rsidR="00806B24" w:rsidRPr="00E926FF" w:rsidRDefault="00806B24" w:rsidP="00806B24">
            <w:pPr>
              <w:numPr>
                <w:ilvl w:val="0"/>
                <w:numId w:val="8"/>
              </w:numPr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E926FF">
              <w:rPr>
                <w:rFonts w:ascii="Cambria" w:hAnsi="Cambria"/>
                <w:i/>
                <w:sz w:val="23"/>
                <w:szCs w:val="23"/>
                <w:lang w:val="sr-Latn-CS"/>
              </w:rPr>
              <w:t>primi robu i usluge u ispravnom stanju.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8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 xml:space="preserve">Rok isporuke robe 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it-IT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it-IT"/>
              </w:rPr>
            </w:pPr>
            <w:r w:rsidRPr="00322B2C">
              <w:rPr>
                <w:rFonts w:asciiTheme="majorHAnsi" w:hAnsiTheme="majorHAnsi"/>
                <w:sz w:val="23"/>
                <w:szCs w:val="23"/>
                <w:lang w:val="it-IT"/>
              </w:rPr>
              <w:t>Dobavljač je dužan da vrši sukcesivnu isporuku predmetne robe u roku od ____ dana od dan</w:t>
            </w:r>
            <w:r>
              <w:rPr>
                <w:rFonts w:asciiTheme="majorHAnsi" w:hAnsiTheme="majorHAnsi"/>
                <w:sz w:val="23"/>
                <w:szCs w:val="23"/>
                <w:lang w:val="it-IT"/>
              </w:rPr>
              <w:t>a prijema sukcesivnog zahtjeva, o čemu je ponuđač dužan da se izjasni.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rPr>
                <w:rFonts w:asciiTheme="majorHAnsi" w:hAnsiTheme="majorHAnsi" w:cs="Arial"/>
                <w:sz w:val="23"/>
                <w:szCs w:val="23"/>
                <w:lang w:val="sr-Latn-CS"/>
              </w:rPr>
            </w:pPr>
            <w:r w:rsidRPr="00322B2C">
              <w:rPr>
                <w:rFonts w:asciiTheme="majorHAnsi" w:hAnsiTheme="majorHAnsi" w:cs="Arial"/>
                <w:sz w:val="23"/>
                <w:szCs w:val="23"/>
                <w:lang w:val="sr-Latn-CS"/>
              </w:rPr>
              <w:t>U zavisnosti od potreba Kupac zadržava pravo da:</w:t>
            </w:r>
          </w:p>
          <w:p w:rsidR="00806B24" w:rsidRPr="00322B2C" w:rsidRDefault="00806B24" w:rsidP="00806B24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="Arial"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Theme="majorHAnsi" w:hAnsiTheme="majorHAnsi" w:cs="Arial"/>
                <w:i/>
                <w:sz w:val="23"/>
                <w:szCs w:val="23"/>
                <w:lang w:val="sr-Latn-CS"/>
              </w:rPr>
              <w:t xml:space="preserve">naručuje robu sukcesivno po pojedinačnim zahtjevima u </w:t>
            </w:r>
            <w:r>
              <w:rPr>
                <w:rFonts w:asciiTheme="majorHAnsi" w:hAnsiTheme="majorHAnsi" w:cs="Arial"/>
                <w:i/>
                <w:sz w:val="23"/>
                <w:szCs w:val="23"/>
                <w:lang w:val="sr-Latn-CS"/>
              </w:rPr>
              <w:t>zavisnosti od trenutnih potreba.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</w:p>
          <w:p w:rsidR="00806B24" w:rsidRPr="00322B2C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806B24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</w:p>
          <w:p w:rsidR="00806B24" w:rsidRPr="00322B2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322B2C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322B2C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 od vrijednosti u</w:t>
            </w:r>
            <w:r w:rsidRPr="00322B2C">
              <w:rPr>
                <w:rFonts w:asciiTheme="majorHAnsi" w:hAnsiTheme="majorHAnsi"/>
                <w:sz w:val="23"/>
                <w:szCs w:val="23"/>
              </w:rPr>
              <w:t>govora za svaki dan zakašnjenja, s tim da ukoliko ugovorna kazna pređe iznos od 5% od vrijednosti ugovora ovaj Ugovor se smatra raskinutim.</w:t>
            </w:r>
          </w:p>
          <w:p w:rsidR="00806B24" w:rsidRPr="00712546" w:rsidRDefault="00806B24" w:rsidP="00806B24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322B2C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6E733D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6E733D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6E733D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6E733D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806B24" w:rsidRPr="00322B2C" w:rsidRDefault="00806B24" w:rsidP="00806B24">
            <w:pPr>
              <w:rPr>
                <w:rFonts w:ascii="Cambria" w:hAnsi="Cambria"/>
                <w:b/>
                <w:i/>
                <w:sz w:val="12"/>
                <w:szCs w:val="23"/>
                <w:lang w:val="sr-Latn-CS"/>
              </w:rPr>
            </w:pPr>
          </w:p>
          <w:p w:rsidR="00806B24" w:rsidRPr="006E733D" w:rsidRDefault="00806B24" w:rsidP="00806B24">
            <w:pPr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6E733D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806B24" w:rsidRDefault="00806B24" w:rsidP="00806B24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</w:p>
          <w:p w:rsidR="00806B24" w:rsidRPr="0069260C" w:rsidRDefault="00806B24" w:rsidP="00806B24">
            <w:pPr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6E733D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javnim nabavkama, Zakona o obligacionim odnosima, Zakona o željeznici i Zakona o bezbjednosti, organizaciji i efikasnosti željezničkog prevoza.</w:t>
            </w:r>
          </w:p>
          <w:p w:rsidR="00806B24" w:rsidRDefault="00806B24" w:rsidP="00F418D0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</w:p>
        </w:tc>
      </w:tr>
    </w:tbl>
    <w:p w:rsidR="00806B24" w:rsidRPr="00806B24" w:rsidRDefault="00806B24" w:rsidP="00F418D0">
      <w:pPr>
        <w:rPr>
          <w:rFonts w:ascii="Cambria" w:hAnsi="Cambria"/>
          <w:b/>
          <w:i/>
          <w:sz w:val="16"/>
          <w:szCs w:val="16"/>
          <w:lang w:val="sr-Latn-CS"/>
        </w:rPr>
      </w:pPr>
    </w:p>
    <w:p w:rsidR="00F418D0" w:rsidRPr="00806B24" w:rsidRDefault="00F418D0" w:rsidP="00F418D0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4578275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6"/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F418D0" w:rsidRPr="00B779E0" w:rsidRDefault="00F418D0" w:rsidP="00F418D0">
      <w:pPr>
        <w:jc w:val="both"/>
        <w:rPr>
          <w:rFonts w:asciiTheme="majorHAnsi" w:hAnsiTheme="majorHAnsi" w:cs="Arial"/>
          <w:sz w:val="16"/>
          <w:szCs w:val="16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F418D0" w:rsidRPr="0069260C" w:rsidRDefault="00F418D0" w:rsidP="00F418D0">
      <w:pPr>
        <w:jc w:val="both"/>
        <w:rPr>
          <w:rFonts w:asciiTheme="majorHAnsi" w:hAnsiTheme="majorHAnsi" w:cs="Arial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7" w:name="_Toc416180136"/>
      <w:bookmarkStart w:id="8" w:name="_Toc508349235"/>
      <w:bookmarkStart w:id="9" w:name="_Toc44578276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7"/>
      <w:bookmarkEnd w:id="8"/>
      <w:bookmarkEnd w:id="9"/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F418D0" w:rsidRPr="0069260C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F418D0" w:rsidRPr="00B35593" w:rsidRDefault="00F418D0" w:rsidP="00F418D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F418D0" w:rsidRPr="00B35593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806B24">
        <w:rPr>
          <w:rFonts w:asciiTheme="majorHAnsi" w:hAnsiTheme="majorHAnsi" w:cs="Arial"/>
          <w:color w:val="000000"/>
        </w:rPr>
        <w:t>10651/2</w:t>
      </w:r>
    </w:p>
    <w:p w:rsidR="00F418D0" w:rsidRPr="00B35593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806B24">
        <w:rPr>
          <w:rFonts w:asciiTheme="majorHAnsi" w:hAnsiTheme="majorHAnsi" w:cs="Arial"/>
          <w:color w:val="000000"/>
        </w:rPr>
        <w:t>06</w:t>
      </w:r>
      <w:r w:rsidRPr="00B35593">
        <w:rPr>
          <w:rFonts w:asciiTheme="majorHAnsi" w:hAnsiTheme="majorHAnsi" w:cs="Arial"/>
          <w:color w:val="000000"/>
        </w:rPr>
        <w:t>.0</w:t>
      </w:r>
      <w:r w:rsidR="00806B24">
        <w:rPr>
          <w:rFonts w:asciiTheme="majorHAnsi" w:hAnsiTheme="majorHAnsi" w:cs="Arial"/>
          <w:color w:val="000000"/>
        </w:rPr>
        <w:t>8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F418D0" w:rsidRPr="00B35593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B35593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B35593" w:rsidRDefault="00F418D0" w:rsidP="00F418D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F418D0" w:rsidRPr="00B35593" w:rsidRDefault="00F418D0" w:rsidP="00F418D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F418D0" w:rsidRPr="00B35593" w:rsidRDefault="00F418D0" w:rsidP="00F418D0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F418D0" w:rsidRPr="00B35593" w:rsidRDefault="00F418D0" w:rsidP="00F418D0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F418D0" w:rsidRPr="00B35593" w:rsidRDefault="00F418D0" w:rsidP="00F418D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82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Regulisani monofazni ispravljač sa KM sa isporukom, montažom i ugradnjom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F418D0" w:rsidRPr="00B35593" w:rsidRDefault="00F418D0" w:rsidP="00F418D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F418D0" w:rsidRPr="00B35593" w:rsidRDefault="00F418D0" w:rsidP="00F418D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F418D0" w:rsidRPr="00B35593" w:rsidRDefault="00F418D0" w:rsidP="00F418D0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F418D0" w:rsidRDefault="00F418D0" w:rsidP="00F418D0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F418D0" w:rsidRPr="00B35593" w:rsidRDefault="00F418D0" w:rsidP="00F418D0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418D0" w:rsidRDefault="00F418D0" w:rsidP="00F418D0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F418D0" w:rsidRPr="00B35593" w:rsidRDefault="00F418D0" w:rsidP="00F418D0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F418D0" w:rsidRDefault="00F418D0" w:rsidP="00F418D0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B35593" w:rsidRDefault="00F418D0" w:rsidP="00F418D0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418D0" w:rsidRDefault="00F418D0" w:rsidP="00F418D0">
      <w:pPr>
        <w:jc w:val="both"/>
        <w:rPr>
          <w:rFonts w:asciiTheme="majorHAnsi" w:hAnsiTheme="majorHAnsi" w:cs="Arial"/>
          <w:color w:val="000000"/>
        </w:rPr>
      </w:pPr>
      <w:r w:rsidRPr="00B551B2">
        <w:rPr>
          <w:rFonts w:asciiTheme="majorHAnsi" w:hAnsiTheme="majorHAnsi" w:cs="Arial"/>
          <w:color w:val="000000"/>
          <w:sz w:val="23"/>
          <w:szCs w:val="23"/>
        </w:rPr>
        <w:t xml:space="preserve">Lice koje je učestvovalo u planiranju javne nabavke: </w:t>
      </w:r>
      <w:r w:rsidRPr="00B551B2">
        <w:rPr>
          <w:rFonts w:asciiTheme="majorHAnsi" w:hAnsiTheme="majorHAnsi"/>
          <w:sz w:val="23"/>
          <w:szCs w:val="23"/>
        </w:rPr>
        <w:t>Direktor Sektora za elektrotehničke poslove</w:t>
      </w:r>
      <w:r w:rsidRPr="00B551B2">
        <w:rPr>
          <w:rFonts w:asciiTheme="majorHAnsi" w:hAnsiTheme="majorHAnsi" w:cs="Arial"/>
          <w:color w:val="000000"/>
          <w:sz w:val="23"/>
          <w:szCs w:val="23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551B2">
        <w:rPr>
          <w:rFonts w:asciiTheme="majorHAnsi" w:hAnsiTheme="majorHAnsi"/>
          <w:b/>
        </w:rPr>
        <w:t>Edin Hasanović</w:t>
      </w:r>
      <w:r w:rsidRPr="00B551B2">
        <w:rPr>
          <w:rFonts w:asciiTheme="majorHAnsi" w:hAnsiTheme="majorHAnsi"/>
        </w:rPr>
        <w:t>,</w:t>
      </w:r>
      <w:r w:rsidRPr="00A8268D">
        <w:rPr>
          <w:rFonts w:asciiTheme="majorHAnsi" w:hAnsiTheme="majorHAnsi"/>
          <w:i/>
        </w:rPr>
        <w:t xml:space="preserve"> </w:t>
      </w:r>
    </w:p>
    <w:p w:rsidR="00F418D0" w:rsidRPr="00092236" w:rsidRDefault="00F418D0" w:rsidP="00F418D0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F418D0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B35593" w:rsidRDefault="00F418D0" w:rsidP="00F418D0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F418D0" w:rsidRDefault="00F418D0" w:rsidP="00F418D0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B779E0">
        <w:rPr>
          <w:rFonts w:asciiTheme="majorHAnsi" w:hAnsiTheme="majorHAnsi" w:cs="Arial"/>
          <w:iCs/>
          <w:color w:val="000000"/>
          <w:sz w:val="22"/>
          <w:szCs w:val="22"/>
        </w:rPr>
        <w:t xml:space="preserve">Predsjednik komisije </w:t>
      </w:r>
      <w:r w:rsidRPr="00B779E0">
        <w:rPr>
          <w:rFonts w:asciiTheme="majorHAnsi" w:hAnsiTheme="majorHAnsi" w:cs="Arial"/>
          <w:sz w:val="22"/>
          <w:szCs w:val="22"/>
        </w:rPr>
        <w:t>za sprovođenje postupka javne nabavk</w:t>
      </w:r>
      <w:r w:rsidRPr="00B779E0">
        <w:rPr>
          <w:rFonts w:asciiTheme="majorHAnsi" w:hAnsiTheme="majorHAnsi" w:cs="Arial"/>
          <w:iCs/>
          <w:color w:val="000000"/>
          <w:sz w:val="22"/>
          <w:szCs w:val="22"/>
        </w:rPr>
        <w:t>e: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 </w:t>
      </w:r>
      <w:r w:rsidRPr="00B779E0">
        <w:rPr>
          <w:rFonts w:asciiTheme="majorHAnsi" w:hAnsiTheme="majorHAnsi" w:cstheme="minorHAnsi"/>
          <w:b/>
          <w:sz w:val="22"/>
          <w:szCs w:val="22"/>
        </w:rPr>
        <w:t xml:space="preserve">Predrag Bubanja, </w:t>
      </w:r>
      <w:r w:rsidRPr="00B779E0">
        <w:rPr>
          <w:rFonts w:asciiTheme="majorHAnsi" w:hAnsiTheme="majorHAnsi" w:cstheme="minorHAnsi"/>
          <w:sz w:val="22"/>
          <w:szCs w:val="22"/>
        </w:rPr>
        <w:t>dip. pravnik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F418D0" w:rsidRPr="00B35593" w:rsidRDefault="00F418D0" w:rsidP="00F418D0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  <w:t>_________________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F418D0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B35593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418D0" w:rsidRPr="00B779E0" w:rsidRDefault="00F418D0" w:rsidP="00F418D0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  <w:sz w:val="22"/>
          <w:szCs w:val="22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>
        <w:rPr>
          <w:rFonts w:asciiTheme="majorHAnsi" w:hAnsiTheme="majorHAnsi"/>
          <w:b/>
        </w:rPr>
        <w:t xml:space="preserve"> </w:t>
      </w:r>
      <w:r w:rsidRPr="00B779E0">
        <w:rPr>
          <w:rFonts w:asciiTheme="majorHAnsi" w:hAnsiTheme="majorHAnsi"/>
          <w:b/>
          <w:sz w:val="22"/>
          <w:szCs w:val="22"/>
        </w:rPr>
        <w:t>Adrijana Uglik</w:t>
      </w:r>
      <w:r w:rsidRPr="00B779E0">
        <w:rPr>
          <w:rFonts w:asciiTheme="majorHAnsi" w:hAnsiTheme="majorHAnsi"/>
          <w:sz w:val="22"/>
          <w:szCs w:val="22"/>
        </w:rPr>
        <w:t>, dipl.ecc</w:t>
      </w:r>
      <w:r w:rsidRPr="00B779E0">
        <w:rPr>
          <w:rFonts w:asciiTheme="majorHAnsi" w:hAnsiTheme="majorHAnsi" w:cs="Arial"/>
          <w:color w:val="000000"/>
          <w:sz w:val="22"/>
          <w:szCs w:val="22"/>
        </w:rPr>
        <w:t xml:space="preserve"> </w:t>
      </w:r>
    </w:p>
    <w:p w:rsidR="00F418D0" w:rsidRPr="00B35593" w:rsidRDefault="00F418D0" w:rsidP="00F418D0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F418D0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B35593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418D0" w:rsidRPr="00B35593" w:rsidRDefault="00F418D0" w:rsidP="00F418D0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551B2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 w:rsidRPr="00250AB3">
        <w:rPr>
          <w:rFonts w:asciiTheme="majorHAnsi" w:hAnsiTheme="majorHAnsi"/>
          <w:b/>
        </w:rPr>
        <w:t>Đon Đeljaj</w:t>
      </w:r>
      <w:r w:rsidRPr="00250AB3">
        <w:rPr>
          <w:rFonts w:asciiTheme="majorHAnsi" w:hAnsiTheme="majorHAnsi"/>
        </w:rPr>
        <w:t>, dipl.el.ing.</w:t>
      </w:r>
    </w:p>
    <w:p w:rsidR="00F418D0" w:rsidRPr="00B35593" w:rsidRDefault="00F418D0" w:rsidP="00F418D0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</w:t>
      </w:r>
      <w:r>
        <w:rPr>
          <w:rFonts w:asciiTheme="majorHAnsi" w:hAnsiTheme="majorHAnsi"/>
        </w:rPr>
        <w:tab/>
        <w:t>___</w:t>
      </w:r>
      <w:r w:rsidRPr="00B35593">
        <w:rPr>
          <w:rFonts w:asciiTheme="majorHAnsi" w:hAnsiTheme="majorHAnsi" w:cs="Arial"/>
          <w:color w:val="000000"/>
        </w:rPr>
        <w:t>_______________________</w:t>
      </w:r>
    </w:p>
    <w:p w:rsidR="00F418D0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B35593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418D0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418D0" w:rsidRPr="00B35593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F418D0" w:rsidRPr="00B779E0" w:rsidRDefault="00F418D0" w:rsidP="00F418D0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B551B2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B551B2">
        <w:rPr>
          <w:rFonts w:asciiTheme="majorHAnsi" w:hAnsiTheme="majorHAnsi" w:cs="Arial"/>
          <w:sz w:val="20"/>
          <w:szCs w:val="20"/>
        </w:rPr>
        <w:t>za sprovođenje postupka javne nabavk</w:t>
      </w:r>
      <w:r w:rsidRPr="00B551B2">
        <w:rPr>
          <w:rFonts w:asciiTheme="majorHAnsi" w:hAnsiTheme="majorHAnsi" w:cs="Arial"/>
          <w:iCs/>
          <w:color w:val="000000"/>
          <w:sz w:val="20"/>
          <w:szCs w:val="20"/>
        </w:rPr>
        <w:t>e:</w:t>
      </w:r>
      <w:r w:rsidRPr="00B551B2">
        <w:rPr>
          <w:rFonts w:asciiTheme="majorHAnsi" w:hAnsiTheme="majorHAnsi" w:cstheme="minorHAnsi"/>
          <w:b/>
          <w:sz w:val="23"/>
          <w:szCs w:val="23"/>
        </w:rPr>
        <w:t xml:space="preserve"> </w:t>
      </w:r>
      <w:r w:rsidRPr="00B779E0">
        <w:rPr>
          <w:rFonts w:asciiTheme="majorHAnsi" w:hAnsiTheme="majorHAnsi" w:cstheme="minorHAnsi"/>
          <w:b/>
          <w:sz w:val="22"/>
          <w:szCs w:val="22"/>
        </w:rPr>
        <w:t xml:space="preserve">Zorica Prelević, </w:t>
      </w:r>
      <w:r w:rsidRPr="00B779E0">
        <w:rPr>
          <w:rFonts w:asciiTheme="majorHAnsi" w:hAnsiTheme="majorHAnsi" w:cstheme="minorHAnsi"/>
          <w:sz w:val="22"/>
          <w:szCs w:val="22"/>
        </w:rPr>
        <w:t>dip. pravnik</w:t>
      </w:r>
    </w:p>
    <w:p w:rsidR="00F418D0" w:rsidRPr="00B35593" w:rsidRDefault="00F418D0" w:rsidP="00F418D0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F418D0" w:rsidRPr="00B35593" w:rsidRDefault="00F418D0" w:rsidP="00F418D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F418D0" w:rsidRPr="00B35593" w:rsidRDefault="00F418D0" w:rsidP="00F418D0">
      <w:pPr>
        <w:ind w:left="6372"/>
        <w:rPr>
          <w:rFonts w:asciiTheme="majorHAnsi" w:hAnsiTheme="majorHAnsi" w:cs="Arial"/>
          <w:i/>
          <w:i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F418D0" w:rsidRPr="0069260C" w:rsidRDefault="00F418D0" w:rsidP="00F418D0">
      <w:pPr>
        <w:keepNext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0" w:name="_Toc44578277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0"/>
    </w:p>
    <w:p w:rsidR="00F418D0" w:rsidRPr="0069260C" w:rsidRDefault="00F418D0" w:rsidP="00F418D0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F418D0" w:rsidRPr="0069260C" w:rsidRDefault="00F418D0" w:rsidP="00F418D0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F418D0" w:rsidRPr="0069260C" w:rsidRDefault="00F418D0" w:rsidP="00F418D0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F418D0" w:rsidRPr="0069260C" w:rsidRDefault="00F418D0" w:rsidP="00F418D0">
      <w:pPr>
        <w:rPr>
          <w:rFonts w:asciiTheme="majorHAnsi" w:hAnsiTheme="majorHAnsi" w:cs="Arial"/>
          <w:color w:val="FF0000"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F418D0" w:rsidRPr="0069260C" w:rsidRDefault="00F418D0" w:rsidP="00F418D0">
      <w:pPr>
        <w:jc w:val="right"/>
        <w:rPr>
          <w:rFonts w:asciiTheme="majorHAnsi" w:hAnsiTheme="majorHAnsi" w:cs="Arial"/>
          <w:b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Pr="00601FCE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BB303D" w:rsidRDefault="00BB303D" w:rsidP="00BB303D">
      <w:pPr>
        <w:jc w:val="right"/>
        <w:rPr>
          <w:rFonts w:ascii="Arial" w:hAnsi="Arial" w:cs="Arial"/>
          <w:b/>
          <w:sz w:val="22"/>
          <w:szCs w:val="22"/>
          <w:lang w:val="sr-Latn-RS"/>
        </w:rPr>
      </w:pPr>
    </w:p>
    <w:p w:rsidR="0006612B" w:rsidRDefault="0006612B"/>
    <w:sectPr w:rsidR="0006612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69" w:rsidRDefault="00951269" w:rsidP="00BB303D">
      <w:r>
        <w:separator/>
      </w:r>
    </w:p>
  </w:endnote>
  <w:endnote w:type="continuationSeparator" w:id="0">
    <w:p w:rsidR="00951269" w:rsidRDefault="00951269" w:rsidP="00BB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22"/>
        <w:szCs w:val="22"/>
      </w:rPr>
      <w:id w:val="-500582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27803" w:rsidRPr="00F27803" w:rsidRDefault="00F27803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27803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EA73E0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F27803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EA73E0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16</w:t>
            </w:r>
            <w:r w:rsidRPr="00F27803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F27803" w:rsidRDefault="00F278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69" w:rsidRDefault="00951269" w:rsidP="00BB303D">
      <w:r>
        <w:separator/>
      </w:r>
    </w:p>
  </w:footnote>
  <w:footnote w:type="continuationSeparator" w:id="0">
    <w:p w:rsidR="00951269" w:rsidRDefault="00951269" w:rsidP="00BB303D">
      <w:r>
        <w:continuationSeparator/>
      </w:r>
    </w:p>
  </w:footnote>
  <w:footnote w:id="1">
    <w:p w:rsidR="00F418D0" w:rsidRPr="00367536" w:rsidRDefault="00F418D0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F418D0" w:rsidRPr="002E211C" w:rsidRDefault="00F418D0" w:rsidP="00F418D0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F418D0" w:rsidRPr="005D5095" w:rsidRDefault="00F418D0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F418D0" w:rsidRPr="005D5095" w:rsidRDefault="00F418D0" w:rsidP="00F418D0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F418D0" w:rsidRPr="002E4B68" w:rsidRDefault="00F418D0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F418D0" w:rsidRPr="000365E1" w:rsidRDefault="00F418D0" w:rsidP="00F418D0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F418D0" w:rsidRPr="00D76152" w:rsidRDefault="00F418D0" w:rsidP="00F418D0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F418D0" w:rsidRPr="002E211C" w:rsidRDefault="00F418D0" w:rsidP="00F418D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F418D0" w:rsidRPr="00761A17" w:rsidRDefault="00F418D0" w:rsidP="00F418D0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F418D0" w:rsidRPr="0099622E" w:rsidRDefault="00F418D0" w:rsidP="00F418D0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D5AEB"/>
    <w:multiLevelType w:val="hybridMultilevel"/>
    <w:tmpl w:val="5D4ECF92"/>
    <w:lvl w:ilvl="0" w:tplc="2C1A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3D"/>
    <w:rsid w:val="0006612B"/>
    <w:rsid w:val="00241E0D"/>
    <w:rsid w:val="0024338F"/>
    <w:rsid w:val="002B37A9"/>
    <w:rsid w:val="003D32B5"/>
    <w:rsid w:val="00806B24"/>
    <w:rsid w:val="00951269"/>
    <w:rsid w:val="00997054"/>
    <w:rsid w:val="009E20D7"/>
    <w:rsid w:val="00B51724"/>
    <w:rsid w:val="00BB303D"/>
    <w:rsid w:val="00E738F8"/>
    <w:rsid w:val="00EA73E0"/>
    <w:rsid w:val="00F27803"/>
    <w:rsid w:val="00F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303D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3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BB303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B303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03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BB303D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BB303D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D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F41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18D0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NoSpacing">
    <w:name w:val="No Spacing"/>
    <w:uiPriority w:val="1"/>
    <w:qFormat/>
    <w:rsid w:val="00F418D0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78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54F8-7E41-4570-9D2F-48266354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3834</Words>
  <Characters>21859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2020-08-07T07:57:00Z</cp:lastPrinted>
  <dcterms:created xsi:type="dcterms:W3CDTF">2020-08-07T11:13:00Z</dcterms:created>
  <dcterms:modified xsi:type="dcterms:W3CDTF">2020-08-07T11:13:00Z</dcterms:modified>
</cp:coreProperties>
</file>